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D398F" w14:textId="74759ECE" w:rsidR="003A4359" w:rsidRPr="00BB4172" w:rsidRDefault="003A4359" w:rsidP="0032095F">
      <w:pPr>
        <w:spacing w:before="240" w:after="240" w:line="240" w:lineRule="auto"/>
        <w:jc w:val="both"/>
        <w:rPr>
          <w:rStyle w:val="fontstyle01"/>
          <w:rFonts w:ascii="Times New Roman" w:hAnsi="Times New Roman" w:cs="Times New Roman"/>
        </w:rPr>
      </w:pPr>
      <w:r w:rsidRPr="00BB4172">
        <w:rPr>
          <w:rStyle w:val="fontstyle01"/>
          <w:rFonts w:ascii="Times New Roman" w:hAnsi="Times New Roman" w:cs="Times New Roman"/>
        </w:rPr>
        <w:t>SUPPLEMENTARY DATA</w:t>
      </w:r>
    </w:p>
    <w:p w14:paraId="5F5A40FE" w14:textId="4C6F1367" w:rsidR="003A4359" w:rsidRPr="00BB4172" w:rsidRDefault="003A4359" w:rsidP="0032095F">
      <w:pPr>
        <w:spacing w:before="240" w:after="240" w:line="240" w:lineRule="auto"/>
        <w:jc w:val="both"/>
        <w:rPr>
          <w:rFonts w:ascii="Times New Roman" w:eastAsia="Times New Roman" w:hAnsi="Times New Roman" w:cs="Times New Roman"/>
          <w:sz w:val="24"/>
          <w:szCs w:val="24"/>
        </w:rPr>
      </w:pPr>
      <w:r w:rsidRPr="00BB4172">
        <w:rPr>
          <w:rStyle w:val="fontstyle01"/>
          <w:rFonts w:ascii="Times New Roman" w:hAnsi="Times New Roman" w:cs="Times New Roman"/>
        </w:rPr>
        <w:t>Materials and Methods</w:t>
      </w:r>
    </w:p>
    <w:p w14:paraId="618AFAC8" w14:textId="556E750C"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Feature Engineering</w:t>
      </w:r>
    </w:p>
    <w:p w14:paraId="2BC3C218" w14:textId="73A67563"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The initial dataset of 39,756 maize B73v5 genes had 874 missing values for the target label core/non-core. As a result, we excluded the 874 genes from the original dataset and kept them as supplementary test data to categorize them after model development while using the remaining dataset of 38,882 genes for our subsequent analysis </w:t>
      </w:r>
      <w:r w:rsidRPr="00BB4172">
        <w:rPr>
          <w:rFonts w:ascii="Times New Roman" w:eastAsia="Times New Roman" w:hAnsi="Times New Roman" w:cs="Times New Roman"/>
          <w:color w:val="000000"/>
          <w:sz w:val="24"/>
          <w:szCs w:val="24"/>
        </w:rPr>
        <w:t>(</w:t>
      </w:r>
      <w:bookmarkStart w:id="0" w:name="_Hlk116561171"/>
      <w:r w:rsidRPr="00BB4172">
        <w:rPr>
          <w:rFonts w:ascii="Times New Roman" w:eastAsia="Times New Roman" w:hAnsi="Times New Roman" w:cs="Times New Roman"/>
          <w:color w:val="000000"/>
          <w:sz w:val="24"/>
          <w:szCs w:val="24"/>
        </w:rPr>
        <w:t>Supplementary Figure S</w:t>
      </w:r>
      <w:bookmarkEnd w:id="0"/>
      <w:r w:rsidR="00A83F84" w:rsidRPr="00BB4172">
        <w:rPr>
          <w:rFonts w:ascii="Times New Roman" w:eastAsia="Times New Roman" w:hAnsi="Times New Roman" w:cs="Times New Roman"/>
          <w:color w:val="000000"/>
          <w:sz w:val="24"/>
          <w:szCs w:val="24"/>
        </w:rPr>
        <w:t>8</w:t>
      </w:r>
      <w:r w:rsidRPr="00BB4172">
        <w:rPr>
          <w:rFonts w:ascii="Times New Roman" w:eastAsia="Times New Roman" w:hAnsi="Times New Roman" w:cs="Times New Roman"/>
          <w:color w:val="000000"/>
          <w:sz w:val="24"/>
          <w:szCs w:val="24"/>
        </w:rPr>
        <w:t xml:space="preserve">). Among the 38,882 genes, seventy-two percent of our genes marked as core in the maize reference genome version B73v5 were considered as the positive sample, and twenty-eight percent annotated as non-core </w:t>
      </w:r>
      <w:proofErr w:type="gramStart"/>
      <w:r w:rsidRPr="00BB4172">
        <w:rPr>
          <w:rFonts w:ascii="Times New Roman" w:eastAsia="Times New Roman" w:hAnsi="Times New Roman" w:cs="Times New Roman"/>
          <w:color w:val="000000"/>
          <w:sz w:val="24"/>
          <w:szCs w:val="24"/>
        </w:rPr>
        <w:t>( near</w:t>
      </w:r>
      <w:proofErr w:type="gramEnd"/>
      <w:r w:rsidRPr="00BB4172">
        <w:rPr>
          <w:rFonts w:ascii="Times New Roman" w:eastAsia="Times New Roman" w:hAnsi="Times New Roman" w:cs="Times New Roman"/>
          <w:color w:val="000000"/>
          <w:sz w:val="24"/>
          <w:szCs w:val="24"/>
        </w:rPr>
        <w:t>-core, dispensable and private genes) were considered as the negative sample for modeling.</w:t>
      </w:r>
      <w:r w:rsidRPr="00BB4172">
        <w:rPr>
          <w:rFonts w:ascii="Times New Roman" w:eastAsia="Times New Roman" w:hAnsi="Times New Roman" w:cs="Times New Roman"/>
          <w:sz w:val="24"/>
          <w:szCs w:val="24"/>
        </w:rPr>
        <w:t xml:space="preserve"> This dataset was then transformed by substituting zeros for missing values and one-hot encoding the categorical variables. In one hot encoding process, categorical variables are converted into a form that ML algorithms could use to perform better in prediction.</w:t>
      </w:r>
    </w:p>
    <w:p w14:paraId="0FF9DABA" w14:textId="77777777"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Handling Data imbalance</w:t>
      </w:r>
    </w:p>
    <w:p w14:paraId="28EF6A2D" w14:textId="74EBB763"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Rather than using random down-sampling methods, as had been previously discussed in the data visualization phase, the modeling phase handled data imbalance issues using</w:t>
      </w:r>
      <w:r w:rsid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the synthetic minority oversampling technique (SMOTE). </w:t>
      </w:r>
      <w:proofErr w:type="spellStart"/>
      <w:r w:rsidRPr="00BB4172">
        <w:rPr>
          <w:rFonts w:ascii="Times New Roman" w:eastAsia="Times New Roman" w:hAnsi="Times New Roman" w:cs="Times New Roman"/>
          <w:sz w:val="24"/>
          <w:szCs w:val="24"/>
        </w:rPr>
        <w:t>Downsampling</w:t>
      </w:r>
      <w:proofErr w:type="spellEnd"/>
      <w:r w:rsidRPr="00BB4172">
        <w:rPr>
          <w:rFonts w:ascii="Times New Roman" w:eastAsia="Times New Roman" w:hAnsi="Times New Roman" w:cs="Times New Roman"/>
          <w:sz w:val="24"/>
          <w:szCs w:val="24"/>
        </w:rPr>
        <w:t xml:space="preserve"> based on the minority class may lead to data loss since the majority class is automatically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based on the minority class, and data loss is expensive for modeling. On the other hand, SMOTE is a technique for oversampling in which synthetic samples are created for the minority class. It is critical to emphasize that SMOTE resampling was conducted exclusively on training data, because if we did SMOTE on the entire dataset and then split it, SMOTE would pass some information into the testing set, thereby skewing the results in an optimistic direction.</w:t>
      </w:r>
    </w:p>
    <w:p w14:paraId="03C90237" w14:textId="77777777"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Hybrid Feature Selection</w:t>
      </w:r>
    </w:p>
    <w:p w14:paraId="51669E7E" w14:textId="06858590"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A total of 14,405 characteristics were discovered for all previously annotated genes. This magnitude may provide significant challenges for many machine-learning algorithms with scalability and learning performance. For instance, high-dimensional data (datasets with hundreds or thousands of characteristics) may contain a high proportion of irrelevant and redundant information, significantly impairing the performance of learning algorithms. As a result, feature selection becomes critical for machine-learning tasks when confronted with high-dimensional data such as ours. We used a hybrid feature selection model in both the “Advanced” and “Basic” models. Here we discuss the hybrid feature selection technique that is used for the "Advanced" model, but a similar approach is used for the "Basic" model. After excluding features with nearly 80% missing values, we eliminated highly correlated features by setting a threshold of 0.8 and discarding columns with correlations more than that threshold; hence, 13,300 characteristics (per gene) were preserved and used in further analyses. From here, two rounds of feature selection were performed (</w:t>
      </w:r>
      <w:bookmarkStart w:id="1" w:name="_Hlk116560773"/>
      <w:r w:rsidRPr="00BB4172">
        <w:rPr>
          <w:rFonts w:ascii="Times New Roman" w:eastAsia="Times New Roman" w:hAnsi="Times New Roman" w:cs="Times New Roman"/>
          <w:sz w:val="24"/>
          <w:szCs w:val="24"/>
        </w:rPr>
        <w:t>Supplementary Figure S</w:t>
      </w:r>
      <w:bookmarkEnd w:id="1"/>
      <w:r w:rsidR="00A83F84" w:rsidRPr="00BB4172">
        <w:rPr>
          <w:rFonts w:ascii="Times New Roman" w:eastAsia="Times New Roman" w:hAnsi="Times New Roman" w:cs="Times New Roman"/>
          <w:sz w:val="24"/>
          <w:szCs w:val="24"/>
        </w:rPr>
        <w:t>9</w:t>
      </w:r>
      <w:r w:rsidRPr="00BB4172">
        <w:rPr>
          <w:rFonts w:ascii="Times New Roman" w:eastAsia="Times New Roman" w:hAnsi="Times New Roman" w:cs="Times New Roman"/>
          <w:sz w:val="24"/>
          <w:szCs w:val="24"/>
        </w:rPr>
        <w:t xml:space="preserve">). The first phase is technically referred to as </w:t>
      </w:r>
      <w:r w:rsidR="00B32D86"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feature selection by model</w:t>
      </w:r>
      <w:r w:rsidR="00B32D86"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while the second phase is referred to as "recursive feature elimination with </w:t>
      </w:r>
      <w:r w:rsidR="00BB4172">
        <w:rPr>
          <w:rFonts w:ascii="Times New Roman" w:eastAsia="Times New Roman" w:hAnsi="Times New Roman" w:cs="Times New Roman"/>
          <w:sz w:val="24"/>
          <w:szCs w:val="24"/>
        </w:rPr>
        <w:t>cross-validation</w:t>
      </w:r>
      <w:r w:rsidRPr="00BB4172">
        <w:rPr>
          <w:rFonts w:ascii="Times New Roman" w:eastAsia="Times New Roman" w:hAnsi="Times New Roman" w:cs="Times New Roman"/>
          <w:sz w:val="24"/>
          <w:szCs w:val="24"/>
        </w:rPr>
        <w:t xml:space="preserve">" (RFECV). The recursive feature elimination with </w:t>
      </w:r>
      <w:r w:rsidR="00BB4172">
        <w:rPr>
          <w:rFonts w:ascii="Times New Roman" w:eastAsia="Times New Roman" w:hAnsi="Times New Roman" w:cs="Times New Roman"/>
          <w:sz w:val="24"/>
          <w:szCs w:val="24"/>
        </w:rPr>
        <w:t>cross-validation</w:t>
      </w:r>
      <w:r w:rsidRPr="00BB4172">
        <w:rPr>
          <w:rFonts w:ascii="Times New Roman" w:eastAsia="Times New Roman" w:hAnsi="Times New Roman" w:cs="Times New Roman"/>
          <w:sz w:val="24"/>
          <w:szCs w:val="24"/>
        </w:rPr>
        <w:t xml:space="preserve"> is a greedy optimization algorithm. It is more accurate than feature selection by model but is computationally </w:t>
      </w:r>
      <w:r w:rsidRPr="00BB4172">
        <w:rPr>
          <w:rFonts w:ascii="Times New Roman" w:eastAsia="Times New Roman" w:hAnsi="Times New Roman" w:cs="Times New Roman"/>
          <w:sz w:val="24"/>
          <w:szCs w:val="24"/>
        </w:rPr>
        <w:lastRenderedPageBreak/>
        <w:t xml:space="preserve">very expensive, therefore the hybrid approach uses feature selection by model to reduce the computational complexity of wrapper algorithms (recursive feature elimination with </w:t>
      </w:r>
      <w:r w:rsidR="00BB4172">
        <w:rPr>
          <w:rFonts w:ascii="Times New Roman" w:eastAsia="Times New Roman" w:hAnsi="Times New Roman" w:cs="Times New Roman"/>
          <w:sz w:val="24"/>
          <w:szCs w:val="24"/>
        </w:rPr>
        <w:t>cross-validation</w:t>
      </w:r>
      <w:r w:rsidRPr="00BB4172">
        <w:rPr>
          <w:rFonts w:ascii="Times New Roman" w:eastAsia="Times New Roman" w:hAnsi="Times New Roman" w:cs="Times New Roman"/>
          <w:sz w:val="24"/>
          <w:szCs w:val="24"/>
        </w:rPr>
        <w:t xml:space="preserve">). </w:t>
      </w:r>
    </w:p>
    <w:p w14:paraId="68DB2F8C" w14:textId="77777777"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Feature selection by model</w:t>
      </w:r>
    </w:p>
    <w:p w14:paraId="3BBBFDA7" w14:textId="1F0A5F4B"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We applied four different machine-learning models for feature selection: L1-based linear regression, Extremely Randomized Trees (Extra-trees model), Random Forest, and Gradient Boosting classifiers. We evaluated each model's performance on the validation data and plotted the model’s importance rankings for each model. Because the Gradient Boosting Classifier achieved the best and most balanced accuracy in both the training and validation sets, we use it to choose the top 100 features (from </w:t>
      </w:r>
      <w:r w:rsidR="00C45E5E" w:rsidRPr="00BB4172">
        <w:rPr>
          <w:rFonts w:ascii="Times New Roman" w:eastAsia="Times New Roman" w:hAnsi="Times New Roman" w:cs="Times New Roman"/>
          <w:sz w:val="24"/>
          <w:szCs w:val="24"/>
        </w:rPr>
        <w:t xml:space="preserve">Supplementary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10</w:t>
      </w:r>
      <w:r w:rsidRPr="00BB4172">
        <w:rPr>
          <w:rFonts w:ascii="Times New Roman" w:eastAsia="Times New Roman" w:hAnsi="Times New Roman" w:cs="Times New Roman"/>
          <w:sz w:val="24"/>
          <w:szCs w:val="24"/>
        </w:rPr>
        <w:t>A) before the feature importance values saturate.</w:t>
      </w:r>
    </w:p>
    <w:p w14:paraId="35FEC9CF" w14:textId="37F7CCEA"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Recursive Feature Elimination (RFE) with </w:t>
      </w:r>
      <w:r w:rsidR="00BB4172">
        <w:rPr>
          <w:rFonts w:ascii="Times New Roman" w:eastAsia="Times New Roman" w:hAnsi="Times New Roman" w:cs="Times New Roman"/>
          <w:sz w:val="24"/>
          <w:szCs w:val="24"/>
        </w:rPr>
        <w:t>cross-validation</w:t>
      </w:r>
    </w:p>
    <w:p w14:paraId="0A90D162" w14:textId="4B61A1C7"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The second phase of feature selection involves determining the optimal combination of features. We accomplish this through "Recursive Feature Elimination" (RFE). Rather than creating a single model, we construct</w:t>
      </w:r>
      <w:r w:rsidRPr="00BB4172">
        <w:rPr>
          <w:rFonts w:ascii="Times New Roman" w:eastAsia="Times New Roman" w:hAnsi="Times New Roman" w:cs="Times New Roman"/>
          <w:i/>
          <w:sz w:val="24"/>
          <w:szCs w:val="24"/>
        </w:rPr>
        <w:t xml:space="preserve"> n </w:t>
      </w:r>
      <w:r w:rsidRPr="00BB4172">
        <w:rPr>
          <w:rFonts w:ascii="Times New Roman" w:eastAsia="Times New Roman" w:hAnsi="Times New Roman" w:cs="Times New Roman"/>
          <w:sz w:val="24"/>
          <w:szCs w:val="24"/>
        </w:rPr>
        <w:t xml:space="preserve">Gradient Boosting models (where </w:t>
      </w:r>
      <w:r w:rsidRPr="00BB4172">
        <w:rPr>
          <w:rFonts w:ascii="Times New Roman" w:eastAsia="Times New Roman" w:hAnsi="Times New Roman" w:cs="Times New Roman"/>
          <w:i/>
          <w:sz w:val="24"/>
          <w:szCs w:val="24"/>
        </w:rPr>
        <w:t>n</w:t>
      </w:r>
      <w:r w:rsidRPr="00BB4172">
        <w:rPr>
          <w:rFonts w:ascii="Times New Roman" w:eastAsia="Times New Roman" w:hAnsi="Times New Roman" w:cs="Times New Roman"/>
          <w:sz w:val="24"/>
          <w:szCs w:val="24"/>
        </w:rPr>
        <w:t xml:space="preserve"> equals the number of features). We train the model using all 100 features in the first iteration and calculate the 5-fold cross-validation area under the Receiver Operating Characteristic Curve (AUC-ROC) score (an evaluation metric that plots the True Positive Rate (TPR) against the False Positive Rate (FPR) at various threshold values) and the feature importance of each column. Then we eliminate the least important feature, leaving us with 99.</w:t>
      </w:r>
      <w:r w:rsidR="00BB4172">
        <w:rPr>
          <w:rFonts w:ascii="Times New Roman" w:eastAsia="Times New Roman" w:hAnsi="Times New Roman" w:cs="Times New Roman"/>
          <w:sz w:val="24"/>
          <w:szCs w:val="24"/>
        </w:rPr>
        <w:t xml:space="preserve"> </w:t>
      </w:r>
      <w:proofErr w:type="gramStart"/>
      <w:r w:rsidRPr="00BB4172">
        <w:rPr>
          <w:rFonts w:ascii="Times New Roman" w:eastAsia="Times New Roman" w:hAnsi="Times New Roman" w:cs="Times New Roman"/>
          <w:sz w:val="24"/>
          <w:szCs w:val="24"/>
        </w:rPr>
        <w:t>We</w:t>
      </w:r>
      <w:proofErr w:type="gramEnd"/>
      <w:r w:rsidRPr="00BB4172">
        <w:rPr>
          <w:rFonts w:ascii="Times New Roman" w:eastAsia="Times New Roman" w:hAnsi="Times New Roman" w:cs="Times New Roman"/>
          <w:sz w:val="24"/>
          <w:szCs w:val="24"/>
        </w:rPr>
        <w:t xml:space="preserve"> repeat the process above based on these 99 features until we reach the final single feature. This method is time-consuming but creates a reliable feature importance ranking.</w:t>
      </w:r>
    </w:p>
    <w:p w14:paraId="11DF7439" w14:textId="5AFD07F1" w:rsidR="003A4359"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The graph (</w:t>
      </w:r>
      <w:r w:rsidR="00C45E5E" w:rsidRPr="00BB4172">
        <w:rPr>
          <w:rFonts w:ascii="Times New Roman" w:eastAsia="Times New Roman" w:hAnsi="Times New Roman" w:cs="Times New Roman"/>
          <w:sz w:val="24"/>
          <w:szCs w:val="24"/>
        </w:rPr>
        <w:t xml:space="preserve">Supplementary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10</w:t>
      </w:r>
      <w:r w:rsidRPr="00BB4172">
        <w:rPr>
          <w:rFonts w:ascii="Times New Roman" w:eastAsia="Times New Roman" w:hAnsi="Times New Roman" w:cs="Times New Roman"/>
          <w:sz w:val="24"/>
          <w:szCs w:val="24"/>
        </w:rPr>
        <w:t xml:space="preserve">B) clearly shows that </w:t>
      </w:r>
      <w:r w:rsidR="00BB4172">
        <w:rPr>
          <w:rFonts w:ascii="Times New Roman" w:eastAsia="Times New Roman" w:hAnsi="Times New Roman" w:cs="Times New Roman"/>
          <w:sz w:val="24"/>
          <w:szCs w:val="24"/>
        </w:rPr>
        <w:t>the validation AUC-ROC score will eventually saturate when trained with more than 40 features</w:t>
      </w:r>
      <w:r w:rsidRPr="00BB4172">
        <w:rPr>
          <w:rFonts w:ascii="Times New Roman" w:eastAsia="Times New Roman" w:hAnsi="Times New Roman" w:cs="Times New Roman"/>
          <w:sz w:val="24"/>
          <w:szCs w:val="24"/>
        </w:rPr>
        <w:t xml:space="preserve"> (around 0.97). As a result, we end up retaining the 40 most critical characteristics. To take advantage of other models' embedded feature selection techniques, we repeat the procedure with the other three models stated earlier and combine the prediction of multiple weak learners to form a strong one. Combining all these steps and using multiple </w:t>
      </w:r>
      <w:proofErr w:type="spellStart"/>
      <w:r w:rsidRPr="00BB4172">
        <w:rPr>
          <w:rFonts w:ascii="Times New Roman" w:eastAsia="Times New Roman" w:hAnsi="Times New Roman" w:cs="Times New Roman"/>
          <w:sz w:val="24"/>
          <w:szCs w:val="24"/>
        </w:rPr>
        <w:t>Sklearn</w:t>
      </w:r>
      <w:proofErr w:type="spellEnd"/>
      <w:r w:rsidRPr="00BB4172">
        <w:rPr>
          <w:rFonts w:ascii="Times New Roman" w:eastAsia="Times New Roman" w:hAnsi="Times New Roman" w:cs="Times New Roman"/>
          <w:sz w:val="24"/>
          <w:szCs w:val="24"/>
        </w:rPr>
        <w:t xml:space="preserve"> models, we created </w:t>
      </w:r>
      <w:r w:rsidR="00BB4172" w:rsidRPr="00BB4172">
        <w:rPr>
          <w:rFonts w:ascii="Times New Roman" w:eastAsia="Times New Roman" w:hAnsi="Times New Roman" w:cs="Times New Roman"/>
          <w:sz w:val="24"/>
          <w:szCs w:val="24"/>
        </w:rPr>
        <w:t>a feature</w:t>
      </w:r>
      <w:r w:rsidRPr="00BB4172">
        <w:rPr>
          <w:rFonts w:ascii="Times New Roman" w:eastAsia="Times New Roman" w:hAnsi="Times New Roman" w:cs="Times New Roman"/>
          <w:sz w:val="24"/>
          <w:szCs w:val="24"/>
        </w:rPr>
        <w:t xml:space="preserve"> selector that retains the 98 most important features for subsequent analysis. </w:t>
      </w:r>
      <w:bookmarkStart w:id="2" w:name="_Hlk116553355"/>
      <w:r w:rsidRPr="00BB4172">
        <w:rPr>
          <w:rFonts w:ascii="Times New Roman" w:eastAsia="Times New Roman" w:hAnsi="Times New Roman" w:cs="Times New Roman"/>
          <w:sz w:val="24"/>
          <w:szCs w:val="24"/>
        </w:rPr>
        <w:t xml:space="preserve">However, our objective is to implement the predictive model in a real-world setting, further reducing the number of features, as fewer variables imply fewer user input requirements. This also decreases the likelihood of error while filling out the input form for modeling. Therefore, we chose the top 25 features out of the 98 most important features to carry out our hyperparameter tuning and deployment. The base Gradient boosting classifiers was used to rank the 98 most important features and select the top 25 features.  </w:t>
      </w:r>
      <w:bookmarkEnd w:id="2"/>
    </w:p>
    <w:p w14:paraId="29908EA8" w14:textId="29BD90E2" w:rsidR="003A4359" w:rsidRPr="00BB4172" w:rsidRDefault="003A4359" w:rsidP="003A4359">
      <w:pPr>
        <w:spacing w:before="240" w:after="240" w:line="240" w:lineRule="auto"/>
        <w:rPr>
          <w:rFonts w:ascii="Times New Roman" w:hAnsi="Times New Roman" w:cs="Times New Roman"/>
          <w:color w:val="000000"/>
          <w:sz w:val="24"/>
          <w:szCs w:val="24"/>
        </w:rPr>
      </w:pPr>
      <w:r w:rsidRPr="00BB4172">
        <w:rPr>
          <w:rFonts w:ascii="Times New Roman" w:hAnsi="Times New Roman" w:cs="Times New Roman"/>
          <w:color w:val="000000"/>
          <w:sz w:val="24"/>
          <w:szCs w:val="24"/>
        </w:rPr>
        <w:t xml:space="preserve">Model building and </w:t>
      </w:r>
      <w:proofErr w:type="gramStart"/>
      <w:r w:rsidRPr="00BB4172">
        <w:rPr>
          <w:rFonts w:ascii="Times New Roman" w:hAnsi="Times New Roman" w:cs="Times New Roman"/>
          <w:color w:val="000000"/>
          <w:sz w:val="24"/>
          <w:szCs w:val="24"/>
        </w:rPr>
        <w:t>validation</w:t>
      </w:r>
      <w:proofErr w:type="gramEnd"/>
    </w:p>
    <w:p w14:paraId="3FC22280" w14:textId="2FE3FFD9" w:rsidR="003A4359" w:rsidRPr="00BB4172" w:rsidRDefault="003A4359" w:rsidP="003A4359">
      <w:pPr>
        <w:spacing w:before="240" w:after="240" w:line="240" w:lineRule="auto"/>
        <w:jc w:val="both"/>
        <w:rPr>
          <w:rFonts w:ascii="Times New Roman" w:hAnsi="Times New Roman" w:cs="Times New Roman"/>
          <w:color w:val="000000"/>
          <w:sz w:val="24"/>
          <w:szCs w:val="24"/>
        </w:rPr>
      </w:pPr>
      <w:r w:rsidRPr="00BB4172">
        <w:rPr>
          <w:rFonts w:ascii="Times New Roman" w:hAnsi="Times New Roman" w:cs="Times New Roman"/>
          <w:color w:val="000000"/>
          <w:sz w:val="24"/>
          <w:szCs w:val="24"/>
        </w:rPr>
        <w:t>We cover the model building and validation step for the "Advanced" model to evaluate the</w:t>
      </w:r>
      <w:r w:rsidRPr="00BB4172">
        <w:rPr>
          <w:rFonts w:ascii="Times New Roman" w:hAnsi="Times New Roman" w:cs="Times New Roman"/>
          <w:color w:val="000000"/>
          <w:sz w:val="24"/>
          <w:szCs w:val="24"/>
        </w:rPr>
        <w:br/>
        <w:t>performance of the top features selected during the feature selection step. The "Basic" model</w:t>
      </w:r>
      <w:r w:rsidRPr="00BB4172">
        <w:rPr>
          <w:rFonts w:ascii="Times New Roman" w:hAnsi="Times New Roman" w:cs="Times New Roman"/>
          <w:color w:val="000000"/>
          <w:sz w:val="24"/>
          <w:szCs w:val="24"/>
        </w:rPr>
        <w:br/>
        <w:t>follows a similar strategy but uses a different set of features (</w:t>
      </w:r>
      <w:r w:rsidR="00BD1B14" w:rsidRPr="00BB4172">
        <w:rPr>
          <w:rFonts w:ascii="Times New Roman" w:hAnsi="Times New Roman" w:cs="Times New Roman"/>
          <w:color w:val="000000"/>
          <w:sz w:val="24"/>
          <w:szCs w:val="24"/>
        </w:rPr>
        <w:t xml:space="preserve">Supplementary </w:t>
      </w:r>
      <w:r w:rsidR="008E4CC0" w:rsidRPr="00BB4172">
        <w:rPr>
          <w:rFonts w:ascii="Times New Roman" w:hAnsi="Times New Roman" w:cs="Times New Roman"/>
          <w:color w:val="000000"/>
          <w:sz w:val="24"/>
          <w:szCs w:val="24"/>
        </w:rPr>
        <w:t xml:space="preserve">Table </w:t>
      </w:r>
      <w:r w:rsidRPr="00BB4172">
        <w:rPr>
          <w:rFonts w:ascii="Times New Roman" w:hAnsi="Times New Roman" w:cs="Times New Roman"/>
          <w:color w:val="000000"/>
          <w:sz w:val="24"/>
          <w:szCs w:val="24"/>
        </w:rPr>
        <w:t>S</w:t>
      </w:r>
      <w:r w:rsidR="00F900B7" w:rsidRPr="00BB4172">
        <w:rPr>
          <w:rFonts w:ascii="Times New Roman" w:hAnsi="Times New Roman" w:cs="Times New Roman"/>
          <w:color w:val="000000"/>
          <w:sz w:val="24"/>
          <w:szCs w:val="24"/>
        </w:rPr>
        <w:t>3</w:t>
      </w:r>
      <w:r w:rsidRPr="00BB4172">
        <w:rPr>
          <w:rFonts w:ascii="Times New Roman" w:hAnsi="Times New Roman" w:cs="Times New Roman"/>
          <w:color w:val="000000"/>
          <w:sz w:val="24"/>
          <w:szCs w:val="24"/>
        </w:rPr>
        <w:t>). The</w:t>
      </w:r>
      <w:r w:rsidR="00BD1B14" w:rsidRPr="00BB4172">
        <w:rPr>
          <w:rFonts w:ascii="Times New Roman" w:hAnsi="Times New Roman" w:cs="Times New Roman"/>
          <w:color w:val="000000"/>
          <w:sz w:val="24"/>
          <w:szCs w:val="24"/>
        </w:rPr>
        <w:t xml:space="preserve"> </w:t>
      </w:r>
      <w:r w:rsidRPr="00BB4172">
        <w:rPr>
          <w:rFonts w:ascii="Times New Roman" w:hAnsi="Times New Roman" w:cs="Times New Roman"/>
          <w:color w:val="000000"/>
          <w:sz w:val="24"/>
          <w:szCs w:val="24"/>
        </w:rPr>
        <w:t xml:space="preserve">union selector step in our “Hybrid Feature selection </w:t>
      </w:r>
      <w:proofErr w:type="gramStart"/>
      <w:r w:rsidRPr="00BB4172">
        <w:rPr>
          <w:rFonts w:ascii="Times New Roman" w:hAnsi="Times New Roman" w:cs="Times New Roman"/>
          <w:color w:val="000000"/>
          <w:sz w:val="24"/>
          <w:szCs w:val="24"/>
        </w:rPr>
        <w:t>“ resulted</w:t>
      </w:r>
      <w:proofErr w:type="gramEnd"/>
      <w:r w:rsidRPr="00BB4172">
        <w:rPr>
          <w:rFonts w:ascii="Times New Roman" w:hAnsi="Times New Roman" w:cs="Times New Roman"/>
          <w:color w:val="000000"/>
          <w:sz w:val="24"/>
          <w:szCs w:val="24"/>
        </w:rPr>
        <w:t xml:space="preserve"> in 98 most important features. In</w:t>
      </w:r>
      <w:r w:rsidR="00BD1B14" w:rsidRPr="00BB4172">
        <w:rPr>
          <w:rFonts w:ascii="Times New Roman" w:hAnsi="Times New Roman" w:cs="Times New Roman"/>
          <w:color w:val="000000"/>
          <w:sz w:val="24"/>
          <w:szCs w:val="24"/>
        </w:rPr>
        <w:t xml:space="preserve"> </w:t>
      </w:r>
      <w:r w:rsidRPr="00BB4172">
        <w:rPr>
          <w:rFonts w:ascii="Times New Roman" w:hAnsi="Times New Roman" w:cs="Times New Roman"/>
          <w:color w:val="000000"/>
          <w:sz w:val="24"/>
          <w:szCs w:val="24"/>
        </w:rPr>
        <w:t xml:space="preserve">union selector, we applied </w:t>
      </w:r>
      <w:proofErr w:type="gramStart"/>
      <w:r w:rsidRPr="00BB4172">
        <w:rPr>
          <w:rFonts w:ascii="Times New Roman" w:hAnsi="Times New Roman" w:cs="Times New Roman"/>
          <w:color w:val="000000"/>
          <w:sz w:val="24"/>
          <w:szCs w:val="24"/>
        </w:rPr>
        <w:t>a number of</w:t>
      </w:r>
      <w:proofErr w:type="gramEnd"/>
      <w:r w:rsidRPr="00BB4172">
        <w:rPr>
          <w:rFonts w:ascii="Times New Roman" w:hAnsi="Times New Roman" w:cs="Times New Roman"/>
          <w:color w:val="000000"/>
          <w:sz w:val="24"/>
          <w:szCs w:val="24"/>
        </w:rPr>
        <w:t xml:space="preserve"> recursive feature elimination methods with 5-fold </w:t>
      </w:r>
      <w:r w:rsidR="00BB4172">
        <w:rPr>
          <w:rFonts w:ascii="Times New Roman" w:hAnsi="Times New Roman" w:cs="Times New Roman"/>
          <w:color w:val="000000"/>
          <w:sz w:val="24"/>
          <w:szCs w:val="24"/>
        </w:rPr>
        <w:t>cross-validation</w:t>
      </w:r>
      <w:r w:rsidRPr="00BB4172">
        <w:rPr>
          <w:rFonts w:ascii="Times New Roman" w:hAnsi="Times New Roman" w:cs="Times New Roman"/>
          <w:color w:val="000000"/>
          <w:sz w:val="24"/>
          <w:szCs w:val="24"/>
        </w:rPr>
        <w:t xml:space="preserve"> to pick the top features and combine them together by taking a union of each feature</w:t>
      </w:r>
      <w:r w:rsidR="008E4CC0" w:rsidRPr="00BB4172">
        <w:rPr>
          <w:rFonts w:ascii="Times New Roman" w:hAnsi="Times New Roman" w:cs="Times New Roman"/>
          <w:color w:val="000000"/>
          <w:sz w:val="24"/>
          <w:szCs w:val="24"/>
        </w:rPr>
        <w:t xml:space="preserve"> </w:t>
      </w:r>
      <w:r w:rsidRPr="00BB4172">
        <w:rPr>
          <w:rFonts w:ascii="Times New Roman" w:hAnsi="Times New Roman" w:cs="Times New Roman"/>
          <w:color w:val="000000"/>
          <w:sz w:val="24"/>
          <w:szCs w:val="24"/>
        </w:rPr>
        <w:lastRenderedPageBreak/>
        <w:t>subset. The final output is a collection of distinct features obtained from the combination of</w:t>
      </w:r>
      <w:r w:rsidR="008E4CC0" w:rsidRPr="00BB4172">
        <w:rPr>
          <w:rFonts w:ascii="Times New Roman" w:hAnsi="Times New Roman" w:cs="Times New Roman"/>
          <w:color w:val="000000"/>
          <w:sz w:val="24"/>
          <w:szCs w:val="24"/>
        </w:rPr>
        <w:t xml:space="preserve"> </w:t>
      </w:r>
      <w:r w:rsidRPr="00BB4172">
        <w:rPr>
          <w:rFonts w:ascii="Times New Roman" w:hAnsi="Times New Roman" w:cs="Times New Roman"/>
          <w:color w:val="000000"/>
          <w:sz w:val="24"/>
          <w:szCs w:val="24"/>
        </w:rPr>
        <w:t>features. The major advantage of the union method is that it results in higher performance as it</w:t>
      </w:r>
      <w:r w:rsidRPr="00BB4172">
        <w:rPr>
          <w:rFonts w:ascii="Times New Roman" w:hAnsi="Times New Roman" w:cs="Times New Roman"/>
          <w:color w:val="000000"/>
          <w:sz w:val="24"/>
          <w:szCs w:val="24"/>
        </w:rPr>
        <w:br/>
        <w:t>takes into account every feature that was chosen by a feature selection method, but the feature</w:t>
      </w:r>
      <w:r w:rsidRPr="00BB4172">
        <w:rPr>
          <w:rFonts w:ascii="Times New Roman" w:hAnsi="Times New Roman" w:cs="Times New Roman"/>
          <w:color w:val="000000"/>
          <w:sz w:val="24"/>
          <w:szCs w:val="24"/>
        </w:rPr>
        <w:br/>
        <w:t>space can grow exponentially if a high number of features are used in the selection process.</w:t>
      </w:r>
      <w:r w:rsidRPr="00BB4172">
        <w:rPr>
          <w:rFonts w:ascii="Times New Roman" w:hAnsi="Times New Roman" w:cs="Times New Roman"/>
          <w:color w:val="000000"/>
          <w:sz w:val="24"/>
          <w:szCs w:val="24"/>
        </w:rPr>
        <w:br/>
        <w:t>Moreover, our objective is to implement the predictive model in a real-world setting, further</w:t>
      </w:r>
      <w:r w:rsidRPr="00BB4172">
        <w:rPr>
          <w:rFonts w:ascii="Times New Roman" w:hAnsi="Times New Roman" w:cs="Times New Roman"/>
          <w:color w:val="000000"/>
          <w:sz w:val="24"/>
          <w:szCs w:val="24"/>
        </w:rPr>
        <w:br/>
        <w:t>reducing the number of features, as fewer variables imply fewer user input requirements. This also decreases the likelihood of error while filling out the input form for modeling. From the model performance perspective: fewer variables mean simpler, more interpretable, less over-fitted models. Therefore, we chose the top 25 features out of the 98 most important features to carry out our hyperparameter tuning and deployment. The base Gradient boosting classifiers was used to rank the 98 most important features.</w:t>
      </w:r>
    </w:p>
    <w:p w14:paraId="31C9F774" w14:textId="0F410900" w:rsidR="003A4359" w:rsidRPr="00BB4172" w:rsidRDefault="003A4359" w:rsidP="0032095F">
      <w:pPr>
        <w:spacing w:before="240" w:after="240" w:line="240" w:lineRule="auto"/>
        <w:jc w:val="both"/>
        <w:rPr>
          <w:rFonts w:ascii="Times New Roman" w:eastAsia="Times New Roman" w:hAnsi="Times New Roman" w:cs="Times New Roman"/>
          <w:sz w:val="24"/>
          <w:szCs w:val="24"/>
        </w:rPr>
      </w:pPr>
      <w:r w:rsidRPr="00BB4172">
        <w:rPr>
          <w:rFonts w:ascii="Times New Roman" w:hAnsi="Times New Roman" w:cs="Times New Roman"/>
          <w:color w:val="000000"/>
          <w:sz w:val="24"/>
          <w:szCs w:val="24"/>
        </w:rPr>
        <w:t>Prior to reducing the 98 most important features to 25 features, we also evaluated the</w:t>
      </w:r>
      <w:r w:rsidRPr="00BB4172">
        <w:rPr>
          <w:rFonts w:ascii="Times New Roman" w:hAnsi="Times New Roman" w:cs="Times New Roman"/>
          <w:color w:val="000000"/>
          <w:sz w:val="24"/>
          <w:szCs w:val="24"/>
        </w:rPr>
        <w:br/>
        <w:t>performance of the union feature selection method by training the Gradient Boosting classifier</w:t>
      </w:r>
      <w:r w:rsidRPr="00BB4172">
        <w:rPr>
          <w:rFonts w:ascii="Times New Roman" w:hAnsi="Times New Roman" w:cs="Times New Roman"/>
          <w:color w:val="000000"/>
          <w:sz w:val="24"/>
          <w:szCs w:val="24"/>
        </w:rPr>
        <w:br/>
        <w:t>with the 98 most important features. The cohort of 38,882 genes is randomly divided into 80%</w:t>
      </w:r>
      <w:r w:rsidRPr="00BB4172">
        <w:rPr>
          <w:rFonts w:ascii="Times New Roman" w:hAnsi="Times New Roman" w:cs="Times New Roman"/>
          <w:color w:val="000000"/>
          <w:sz w:val="24"/>
          <w:szCs w:val="24"/>
        </w:rPr>
        <w:br/>
        <w:t>(learning set) for developing a prediction model and 20% for validating the developed model</w:t>
      </w:r>
      <w:r w:rsidRPr="00BB4172">
        <w:rPr>
          <w:rFonts w:ascii="Times New Roman" w:hAnsi="Times New Roman" w:cs="Times New Roman"/>
          <w:color w:val="000000"/>
          <w:sz w:val="24"/>
          <w:szCs w:val="24"/>
        </w:rPr>
        <w:br/>
        <w:t>(validation set). Following the application of SMOTE to our training data, we train a base Gradient</w:t>
      </w:r>
      <w:r w:rsidRPr="00BB4172">
        <w:rPr>
          <w:rFonts w:ascii="Times New Roman" w:hAnsi="Times New Roman" w:cs="Times New Roman"/>
          <w:color w:val="000000"/>
          <w:sz w:val="24"/>
          <w:szCs w:val="24"/>
        </w:rPr>
        <w:br/>
        <w:t>Boosting Classifier using 5-fold cross-validation; the data was first divided into five-folds, four of</w:t>
      </w:r>
      <w:r w:rsidRPr="00BB4172">
        <w:rPr>
          <w:rFonts w:ascii="Times New Roman" w:hAnsi="Times New Roman" w:cs="Times New Roman"/>
          <w:color w:val="000000"/>
          <w:sz w:val="24"/>
          <w:szCs w:val="24"/>
        </w:rPr>
        <w:br/>
        <w:t>which were used to train the model, and the fifth was used to assess model</w:t>
      </w:r>
      <w:r w:rsidRPr="00BB4172">
        <w:rPr>
          <w:rFonts w:ascii="Times New Roman" w:hAnsi="Times New Roman" w:cs="Times New Roman"/>
          <w:color w:val="000000"/>
          <w:sz w:val="24"/>
          <w:szCs w:val="24"/>
        </w:rPr>
        <w:br/>
        <w:t>performance/generalizability. We evaluate the model using a set of performance metrics, including</w:t>
      </w:r>
      <w:r w:rsidRPr="00BB4172">
        <w:rPr>
          <w:rFonts w:ascii="Times New Roman" w:hAnsi="Times New Roman" w:cs="Times New Roman"/>
          <w:color w:val="000000"/>
          <w:sz w:val="24"/>
          <w:szCs w:val="24"/>
        </w:rPr>
        <w:br/>
        <w:t>recall, precision, area under the Receiver Operating Characteristic Curve (AUC-ROC), and area</w:t>
      </w:r>
      <w:r w:rsidRPr="00BB4172">
        <w:rPr>
          <w:rFonts w:ascii="Times New Roman" w:hAnsi="Times New Roman" w:cs="Times New Roman"/>
          <w:color w:val="000000"/>
          <w:sz w:val="24"/>
          <w:szCs w:val="24"/>
        </w:rPr>
        <w:br/>
        <w:t>under the Precision-Recall Curve (AUC-PR). We classify using traditional performance measures</w:t>
      </w:r>
      <w:r w:rsidRPr="00BB4172">
        <w:rPr>
          <w:rFonts w:ascii="Times New Roman" w:hAnsi="Times New Roman" w:cs="Times New Roman"/>
          <w:color w:val="000000"/>
          <w:sz w:val="24"/>
          <w:szCs w:val="24"/>
        </w:rPr>
        <w:br/>
        <w:t>based on the confusion table's four components: true positive (TP), false positive (FP), true</w:t>
      </w:r>
      <w:r w:rsidRPr="00BB4172">
        <w:rPr>
          <w:rFonts w:ascii="Times New Roman" w:hAnsi="Times New Roman" w:cs="Times New Roman"/>
          <w:color w:val="000000"/>
          <w:sz w:val="24"/>
          <w:szCs w:val="24"/>
        </w:rPr>
        <w:br/>
        <w:t>negatives (TN), and false negatives. AUC-ROC curve is a performance measurement for</w:t>
      </w:r>
      <w:r w:rsidRPr="00BB4172">
        <w:rPr>
          <w:rFonts w:ascii="Times New Roman" w:hAnsi="Times New Roman" w:cs="Times New Roman"/>
          <w:color w:val="000000"/>
          <w:sz w:val="24"/>
          <w:szCs w:val="24"/>
        </w:rPr>
        <w:br/>
        <w:t>classification problems at various threshold settings. ROC is a probability curve, and the Area</w:t>
      </w:r>
      <w:r w:rsidRPr="00BB4172">
        <w:rPr>
          <w:rFonts w:ascii="Times New Roman" w:hAnsi="Times New Roman" w:cs="Times New Roman"/>
          <w:color w:val="000000"/>
          <w:sz w:val="24"/>
          <w:szCs w:val="24"/>
        </w:rPr>
        <w:br/>
        <w:t>Under the Curve (AUC) measures the ability of a classifier to distinguish between classes and is</w:t>
      </w:r>
      <w:r w:rsidRPr="00BB4172">
        <w:rPr>
          <w:rFonts w:ascii="Times New Roman" w:hAnsi="Times New Roman" w:cs="Times New Roman"/>
          <w:color w:val="000000"/>
          <w:sz w:val="24"/>
          <w:szCs w:val="24"/>
        </w:rPr>
        <w:br/>
        <w:t>used as a summary of the ROC curve. It tells how much the model can distinguish between classes</w:t>
      </w:r>
      <w:r w:rsidRPr="00BB4172">
        <w:rPr>
          <w:rFonts w:ascii="Times New Roman" w:hAnsi="Times New Roman" w:cs="Times New Roman"/>
          <w:color w:val="000000"/>
          <w:sz w:val="24"/>
          <w:szCs w:val="24"/>
        </w:rPr>
        <w:br/>
        <w:t>(core/non-core). The higher the AUC, the better the model predicts non-core genes as non-core</w:t>
      </w:r>
      <w:r w:rsidRPr="00BB4172">
        <w:rPr>
          <w:rFonts w:ascii="Times New Roman" w:hAnsi="Times New Roman" w:cs="Times New Roman"/>
          <w:color w:val="000000"/>
          <w:sz w:val="24"/>
          <w:szCs w:val="24"/>
        </w:rPr>
        <w:br/>
        <w:t>and core genes as the core. A precision-recall curve plots the precision (y-axis) and the recall (x</w:t>
      </w:r>
      <w:r w:rsidR="005A1413" w:rsidRPr="00BB4172">
        <w:rPr>
          <w:rFonts w:ascii="Times New Roman" w:hAnsi="Times New Roman" w:cs="Times New Roman"/>
          <w:color w:val="000000"/>
          <w:sz w:val="24"/>
          <w:szCs w:val="24"/>
        </w:rPr>
        <w:t xml:space="preserve"> </w:t>
      </w:r>
      <w:r w:rsidRPr="00BB4172">
        <w:rPr>
          <w:rFonts w:ascii="Times New Roman" w:hAnsi="Times New Roman" w:cs="Times New Roman"/>
          <w:color w:val="000000"/>
          <w:sz w:val="24"/>
          <w:szCs w:val="24"/>
        </w:rPr>
        <w:t>axis) for different thresholds, much like the AUC-ROC curve. The Gradient boosting classifiers</w:t>
      </w:r>
      <w:r w:rsidRPr="00BB4172">
        <w:rPr>
          <w:rFonts w:ascii="Times New Roman" w:hAnsi="Times New Roman" w:cs="Times New Roman"/>
          <w:color w:val="000000"/>
          <w:sz w:val="24"/>
          <w:szCs w:val="24"/>
        </w:rPr>
        <w:br/>
        <w:t xml:space="preserve">trained on the top </w:t>
      </w:r>
      <w:r w:rsidR="00B51AC2" w:rsidRPr="00BB4172">
        <w:rPr>
          <w:rFonts w:ascii="Times New Roman" w:hAnsi="Times New Roman" w:cs="Times New Roman"/>
          <w:color w:val="000000"/>
          <w:sz w:val="24"/>
          <w:szCs w:val="24"/>
        </w:rPr>
        <w:t>25</w:t>
      </w:r>
      <w:r w:rsidRPr="00BB4172">
        <w:rPr>
          <w:rFonts w:ascii="Times New Roman" w:hAnsi="Times New Roman" w:cs="Times New Roman"/>
          <w:color w:val="000000"/>
          <w:sz w:val="24"/>
          <w:szCs w:val="24"/>
        </w:rPr>
        <w:t xml:space="preserve"> features result in excellent training performance: Accuracy = 0.92, AUC =</w:t>
      </w:r>
      <w:r w:rsidRPr="00BB4172">
        <w:rPr>
          <w:rFonts w:ascii="Times New Roman" w:hAnsi="Times New Roman" w:cs="Times New Roman"/>
          <w:color w:val="000000"/>
          <w:sz w:val="24"/>
          <w:szCs w:val="24"/>
        </w:rPr>
        <w:br/>
        <w:t>0.9</w:t>
      </w:r>
      <w:r w:rsidR="00B51AC2" w:rsidRPr="00BB4172">
        <w:rPr>
          <w:rFonts w:ascii="Times New Roman" w:hAnsi="Times New Roman" w:cs="Times New Roman"/>
          <w:color w:val="000000"/>
          <w:sz w:val="24"/>
          <w:szCs w:val="24"/>
        </w:rPr>
        <w:t>7</w:t>
      </w:r>
      <w:r w:rsidRPr="00BB4172">
        <w:rPr>
          <w:rFonts w:ascii="Times New Roman" w:hAnsi="Times New Roman" w:cs="Times New Roman"/>
          <w:color w:val="000000"/>
          <w:sz w:val="24"/>
          <w:szCs w:val="24"/>
        </w:rPr>
        <w:t>; performance during testing: Accuracy = 0.</w:t>
      </w:r>
      <w:r w:rsidR="00B51AC2" w:rsidRPr="00BB4172">
        <w:rPr>
          <w:rFonts w:ascii="Times New Roman" w:hAnsi="Times New Roman" w:cs="Times New Roman"/>
          <w:color w:val="000000"/>
          <w:sz w:val="24"/>
          <w:szCs w:val="24"/>
        </w:rPr>
        <w:t>90</w:t>
      </w:r>
      <w:r w:rsidRPr="00BB4172">
        <w:rPr>
          <w:rFonts w:ascii="Times New Roman" w:hAnsi="Times New Roman" w:cs="Times New Roman"/>
          <w:color w:val="000000"/>
          <w:sz w:val="24"/>
          <w:szCs w:val="24"/>
        </w:rPr>
        <w:t>, AUC = 0.8</w:t>
      </w:r>
      <w:r w:rsidR="00B51AC2" w:rsidRPr="00BB4172">
        <w:rPr>
          <w:rFonts w:ascii="Times New Roman" w:hAnsi="Times New Roman" w:cs="Times New Roman"/>
          <w:color w:val="000000"/>
          <w:sz w:val="24"/>
          <w:szCs w:val="24"/>
        </w:rPr>
        <w:t>7</w:t>
      </w:r>
      <w:r w:rsidR="00704B6D" w:rsidRPr="00BB4172">
        <w:rPr>
          <w:rFonts w:ascii="Times New Roman" w:hAnsi="Times New Roman" w:cs="Times New Roman"/>
          <w:color w:val="000000"/>
          <w:sz w:val="24"/>
          <w:szCs w:val="24"/>
        </w:rPr>
        <w:t xml:space="preserve"> </w:t>
      </w:r>
      <w:r w:rsidR="00BB4172" w:rsidRPr="00BB4172">
        <w:rPr>
          <w:rFonts w:ascii="Times New Roman" w:hAnsi="Times New Roman" w:cs="Times New Roman"/>
          <w:color w:val="000000"/>
          <w:sz w:val="24"/>
          <w:szCs w:val="24"/>
        </w:rPr>
        <w:t>(</w:t>
      </w:r>
      <w:r w:rsidR="00BB4172" w:rsidRPr="00BB4172">
        <w:rPr>
          <w:rFonts w:ascii="Times New Roman" w:eastAsia="Times New Roman" w:hAnsi="Times New Roman" w:cs="Times New Roman"/>
          <w:sz w:val="24"/>
          <w:szCs w:val="24"/>
        </w:rPr>
        <w:t>Supplementary</w:t>
      </w:r>
      <w:r w:rsidR="00704B6D" w:rsidRPr="00BB4172">
        <w:rPr>
          <w:rFonts w:ascii="Times New Roman" w:eastAsia="Times New Roman" w:hAnsi="Times New Roman" w:cs="Times New Roman"/>
          <w:sz w:val="24"/>
          <w:szCs w:val="24"/>
        </w:rPr>
        <w:t xml:space="preserve"> Figure S17).</w:t>
      </w:r>
    </w:p>
    <w:p w14:paraId="2CEBFBF4" w14:textId="77777777"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Hyperparameter Tuning and Deployment</w:t>
      </w:r>
    </w:p>
    <w:p w14:paraId="742D7D4E" w14:textId="52F2B4AA"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We attempt to tune the hyperparameters of six different models (1. Logistic Regression, 2. Random Forest Classifier, 3. Gradient Boosting Classifier, 4. Extra Trees Classifier, 5. </w:t>
      </w:r>
      <w:proofErr w:type="spellStart"/>
      <w:r w:rsidRPr="00BB4172">
        <w:rPr>
          <w:rFonts w:ascii="Times New Roman" w:eastAsia="Times New Roman" w:hAnsi="Times New Roman" w:cs="Times New Roman"/>
          <w:sz w:val="24"/>
          <w:szCs w:val="24"/>
        </w:rPr>
        <w:t>KNeighborsClassifier</w:t>
      </w:r>
      <w:proofErr w:type="spellEnd"/>
      <w:r w:rsidRPr="00BB4172">
        <w:rPr>
          <w:rFonts w:ascii="Times New Roman" w:eastAsia="Times New Roman" w:hAnsi="Times New Roman" w:cs="Times New Roman"/>
          <w:sz w:val="24"/>
          <w:szCs w:val="24"/>
        </w:rPr>
        <w:t xml:space="preserve">, and 6. SVM Classifier) using two distinct optimization approaches (1. Random and 2. Grid Search), respectively, via Scikit-Learns </w:t>
      </w:r>
      <w:proofErr w:type="spellStart"/>
      <w:r w:rsidRPr="00BB4172">
        <w:rPr>
          <w:rFonts w:ascii="Times New Roman" w:eastAsia="Times New Roman" w:hAnsi="Times New Roman" w:cs="Times New Roman"/>
          <w:sz w:val="24"/>
          <w:szCs w:val="24"/>
        </w:rPr>
        <w:t>RandomizedSearchCV</w:t>
      </w:r>
      <w:proofErr w:type="spellEnd"/>
      <w:r w:rsidRPr="00BB4172">
        <w:rPr>
          <w:rFonts w:ascii="Times New Roman" w:eastAsia="Times New Roman" w:hAnsi="Times New Roman" w:cs="Times New Roman"/>
          <w:sz w:val="24"/>
          <w:szCs w:val="24"/>
        </w:rPr>
        <w:t xml:space="preserve"> and </w:t>
      </w:r>
      <w:proofErr w:type="spellStart"/>
      <w:r w:rsidRPr="00BB4172">
        <w:rPr>
          <w:rFonts w:ascii="Times New Roman" w:eastAsia="Times New Roman" w:hAnsi="Times New Roman" w:cs="Times New Roman"/>
          <w:sz w:val="24"/>
          <w:szCs w:val="24"/>
        </w:rPr>
        <w:t>GridSearchCV</w:t>
      </w:r>
      <w:proofErr w:type="spellEnd"/>
      <w:r w:rsidRPr="00BB4172">
        <w:rPr>
          <w:rFonts w:ascii="Times New Roman" w:eastAsia="Times New Roman" w:hAnsi="Times New Roman" w:cs="Times New Roman"/>
          <w:sz w:val="24"/>
          <w:szCs w:val="24"/>
        </w:rPr>
        <w:t xml:space="preserve"> methods (Supplementary Figure S</w:t>
      </w:r>
      <w:r w:rsidR="00EC4FF9" w:rsidRPr="00BB4172">
        <w:rPr>
          <w:rFonts w:ascii="Times New Roman" w:eastAsia="Times New Roman" w:hAnsi="Times New Roman" w:cs="Times New Roman"/>
          <w:sz w:val="24"/>
          <w:szCs w:val="24"/>
        </w:rPr>
        <w:t>1</w:t>
      </w:r>
      <w:r w:rsidR="00B51AC2" w:rsidRPr="00BB4172">
        <w:rPr>
          <w:rFonts w:ascii="Times New Roman" w:eastAsia="Times New Roman" w:hAnsi="Times New Roman" w:cs="Times New Roman"/>
          <w:sz w:val="24"/>
          <w:szCs w:val="24"/>
        </w:rPr>
        <w:t>9</w:t>
      </w:r>
      <w:r w:rsidRPr="00BB4172">
        <w:rPr>
          <w:rFonts w:ascii="Times New Roman" w:eastAsia="Times New Roman" w:hAnsi="Times New Roman" w:cs="Times New Roman"/>
          <w:sz w:val="24"/>
          <w:szCs w:val="24"/>
        </w:rPr>
        <w:t>). Using a helper class, we defined a dictionary of models and a dictionary of parameters for each model.</w:t>
      </w:r>
    </w:p>
    <w:p w14:paraId="102D05FC" w14:textId="74D3B562"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For both “Advanced” prediction and “Basic” prediction, the </w:t>
      </w:r>
      <w:r w:rsidR="00D9218A" w:rsidRPr="00BB4172">
        <w:rPr>
          <w:rFonts w:ascii="Times New Roman" w:eastAsia="Times New Roman" w:hAnsi="Times New Roman" w:cs="Times New Roman"/>
          <w:sz w:val="24"/>
          <w:szCs w:val="24"/>
        </w:rPr>
        <w:t>supplementary</w:t>
      </w:r>
      <w:r w:rsidRPr="00BB4172">
        <w:rPr>
          <w:rFonts w:ascii="Times New Roman" w:eastAsia="Times New Roman" w:hAnsi="Times New Roman" w:cs="Times New Roman"/>
          <w:sz w:val="24"/>
          <w:szCs w:val="24"/>
        </w:rPr>
        <w:t xml:space="preserve"> files (</w:t>
      </w:r>
      <w:r w:rsidR="0027449C" w:rsidRPr="00BB4172">
        <w:rPr>
          <w:rFonts w:ascii="Times New Roman" w:eastAsia="Times New Roman" w:hAnsi="Times New Roman" w:cs="Times New Roman"/>
          <w:sz w:val="24"/>
          <w:szCs w:val="24"/>
        </w:rPr>
        <w:t xml:space="preserve">Supplementary </w:t>
      </w:r>
      <w:r w:rsidRPr="00BB4172">
        <w:rPr>
          <w:rFonts w:ascii="Times New Roman" w:eastAsia="Times New Roman" w:hAnsi="Times New Roman" w:cs="Times New Roman"/>
          <w:sz w:val="24"/>
          <w:szCs w:val="24"/>
        </w:rPr>
        <w:t>Table S</w:t>
      </w:r>
      <w:r w:rsidR="00A83F84"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-S</w:t>
      </w:r>
      <w:r w:rsidR="00A83F84" w:rsidRPr="00BB4172">
        <w:rPr>
          <w:rFonts w:ascii="Times New Roman" w:eastAsia="Times New Roman" w:hAnsi="Times New Roman" w:cs="Times New Roman"/>
          <w:sz w:val="24"/>
          <w:szCs w:val="24"/>
        </w:rPr>
        <w:t>7</w:t>
      </w:r>
      <w:r w:rsidRPr="00BB4172">
        <w:rPr>
          <w:rFonts w:ascii="Times New Roman" w:eastAsia="Times New Roman" w:hAnsi="Times New Roman" w:cs="Times New Roman"/>
          <w:sz w:val="24"/>
          <w:szCs w:val="24"/>
        </w:rPr>
        <w:t>) summarize the algorithms' highest mean scores for each criterion (accuracy, average precision, f1, precision, recall, and AUC-ROC). Additionally, generated working sheet for all scores using Excel (</w:t>
      </w:r>
      <w:r w:rsidR="0027449C" w:rsidRPr="00BB4172">
        <w:rPr>
          <w:rFonts w:ascii="Times New Roman" w:eastAsia="Times New Roman" w:hAnsi="Times New Roman" w:cs="Times New Roman"/>
          <w:sz w:val="24"/>
          <w:szCs w:val="24"/>
        </w:rPr>
        <w:t xml:space="preserve">Supplementary </w:t>
      </w:r>
      <w:r w:rsidRPr="00BB4172">
        <w:rPr>
          <w:rFonts w:ascii="Times New Roman" w:eastAsia="Times New Roman" w:hAnsi="Times New Roman" w:cs="Times New Roman"/>
          <w:sz w:val="24"/>
          <w:szCs w:val="24"/>
        </w:rPr>
        <w:t>Table S</w:t>
      </w:r>
      <w:r w:rsidR="00A83F84"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-S</w:t>
      </w:r>
      <w:r w:rsidR="00A83F84"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for the “Advanced” prediction allowed tracking different hyperparameter combinations and a more accurate comparison of model performance.</w:t>
      </w:r>
    </w:p>
    <w:p w14:paraId="2A4B56B6" w14:textId="26A15A64" w:rsidR="0032095F" w:rsidRPr="00BB4172" w:rsidRDefault="0032095F" w:rsidP="0032095F">
      <w:pPr>
        <w:spacing w:before="240" w:after="24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lastRenderedPageBreak/>
        <w:t>Choosing how to deploy predictive models into production is a complicated process; there are numerous ways to manage the predictive models' lifecycle, numerous formats to store them, and multiple ways to deploy them. There are primarily two modes of model deployment: batch and real-time. In this paper, we used Python's pickle library to store our final models and later deployed it in real-time via Flask APIs on an Apache server, which can easily assist in classifying whether a gene is a core or non-core via a graphical user interface.</w:t>
      </w:r>
    </w:p>
    <w:p w14:paraId="2AF40665" w14:textId="77777777" w:rsidR="00DF6EAA" w:rsidRPr="00BB4172" w:rsidRDefault="00DF6EAA" w:rsidP="00DF6EAA">
      <w:pPr>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Model Flexibility</w:t>
      </w:r>
    </w:p>
    <w:p w14:paraId="6EA62D9A" w14:textId="77777777" w:rsidR="00DF6EAA" w:rsidRPr="00BB4172" w:rsidRDefault="00DF6EAA" w:rsidP="00DF6EAA">
      <w:pPr>
        <w:shd w:val="clear" w:color="auto" w:fill="FFFFFF"/>
        <w:spacing w:line="240" w:lineRule="auto"/>
        <w:jc w:val="both"/>
        <w:rPr>
          <w:rFonts w:ascii="Times New Roman" w:eastAsia="Times New Roman" w:hAnsi="Times New Roman" w:cs="Times New Roman"/>
          <w:sz w:val="24"/>
          <w:szCs w:val="24"/>
        </w:rPr>
      </w:pPr>
    </w:p>
    <w:p w14:paraId="78304FC6" w14:textId="07F47B9F" w:rsidR="00DF6EAA" w:rsidRPr="00BB4172" w:rsidRDefault="00DF6EAA" w:rsidP="00DF6EAA">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In each modeling form ("Advanced" or "Basic"), users enter the necessary information for their gene of interest to classify it as core or non-core. Prediction results are displayed at the bottom of the same form with a probability score between 0 and 1. While the "Advanced" model is more accurate and more efficient, the input features required by the "Advanced" model are specific to </w:t>
      </w:r>
      <w:proofErr w:type="gramStart"/>
      <w:r w:rsidRPr="00BB4172">
        <w:rPr>
          <w:rFonts w:ascii="Times New Roman" w:eastAsia="Times New Roman" w:hAnsi="Times New Roman" w:cs="Times New Roman"/>
          <w:sz w:val="24"/>
          <w:szCs w:val="24"/>
        </w:rPr>
        <w:t>maize, or</w:t>
      </w:r>
      <w:proofErr w:type="gramEnd"/>
      <w:r w:rsidRPr="00BB4172">
        <w:rPr>
          <w:rFonts w:ascii="Times New Roman" w:eastAsia="Times New Roman" w:hAnsi="Times New Roman" w:cs="Times New Roman"/>
          <w:sz w:val="24"/>
          <w:szCs w:val="24"/>
        </w:rPr>
        <w:t xml:space="preserve"> use less readily available experimental features. Therefore, the "Advanced" model may only work on maize genes from </w:t>
      </w:r>
      <w:r w:rsidR="00BB4172">
        <w:rPr>
          <w:rFonts w:ascii="Times New Roman" w:eastAsia="Times New Roman" w:hAnsi="Times New Roman" w:cs="Times New Roman"/>
          <w:sz w:val="24"/>
          <w:szCs w:val="24"/>
        </w:rPr>
        <w:t>well-annotated</w:t>
      </w:r>
      <w:r w:rsidRPr="00BB4172">
        <w:rPr>
          <w:rFonts w:ascii="Times New Roman" w:eastAsia="Times New Roman" w:hAnsi="Times New Roman" w:cs="Times New Roman"/>
          <w:sz w:val="24"/>
          <w:szCs w:val="24"/>
        </w:rPr>
        <w:t xml:space="preserve"> genomes. In addition, the generation of some of these features is time-consuming and requires programming skills. Therefore, to provide a highly versatile prediction platform for both novices and experts, we developed the "Basic" model that relies only on gene and protein sequences and structural features. These genomic features are easily accessible or readily available in the form of GFF files. For users lacking the necessary sequence features, the “Basic” model also includes an input box that will auto-fill the form by taking in only the protein sequence and the coding sequence from the user. Because of this, the “Basic” model acts as a hassle-free prediction platform for a wide range of users. </w:t>
      </w:r>
    </w:p>
    <w:p w14:paraId="70714F3F" w14:textId="77777777" w:rsidR="00DF6EAA" w:rsidRPr="00BB4172" w:rsidRDefault="00DF6EAA" w:rsidP="00DF6EAA">
      <w:pPr>
        <w:shd w:val="clear" w:color="auto" w:fill="FFFFFF"/>
        <w:spacing w:line="240" w:lineRule="auto"/>
        <w:jc w:val="both"/>
        <w:rPr>
          <w:rFonts w:ascii="Times New Roman" w:eastAsia="Times New Roman" w:hAnsi="Times New Roman" w:cs="Times New Roman"/>
          <w:sz w:val="24"/>
          <w:szCs w:val="24"/>
        </w:rPr>
      </w:pPr>
    </w:p>
    <w:p w14:paraId="45FA0884" w14:textId="77777777" w:rsidR="00DF6EAA" w:rsidRPr="00BB4172" w:rsidRDefault="00DF6EAA" w:rsidP="00DF6EAA">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Additionally, users can retrain both the “Basic” and the “Advanced” models with data specific to their species of interest for better species-specific gene annotation prediction. Users who want to carry out a quick classification of their genes as core or non-core can opt for the “Basic” model, or if the accuracy of the model is critical to them, they can opt for the “Advanced” model.</w:t>
      </w:r>
      <w:bookmarkStart w:id="3" w:name="_17dp8vu" w:colFirst="0" w:colLast="0"/>
      <w:bookmarkEnd w:id="3"/>
    </w:p>
    <w:p w14:paraId="6BE5219D" w14:textId="049DCD6B" w:rsidR="00DF6EAA" w:rsidRPr="00BB4172" w:rsidRDefault="00DF6EAA" w:rsidP="00DF6EAA">
      <w:pPr>
        <w:spacing w:before="240" w:after="240" w:line="240" w:lineRule="auto"/>
        <w:rPr>
          <w:rFonts w:ascii="Times New Roman" w:hAnsi="Times New Roman" w:cs="Times New Roman"/>
          <w:color w:val="000000"/>
          <w:sz w:val="24"/>
          <w:szCs w:val="24"/>
        </w:rPr>
      </w:pPr>
      <w:r w:rsidRPr="00BB4172">
        <w:rPr>
          <w:rFonts w:ascii="Times New Roman" w:hAnsi="Times New Roman" w:cs="Times New Roman"/>
          <w:color w:val="000000"/>
          <w:sz w:val="24"/>
          <w:szCs w:val="24"/>
        </w:rPr>
        <w:t>Application Reproducibility</w:t>
      </w:r>
    </w:p>
    <w:p w14:paraId="171565EE" w14:textId="382B3035" w:rsidR="00DF6EAA" w:rsidRPr="00BB4172" w:rsidRDefault="00DF6EAA" w:rsidP="0032095F">
      <w:pPr>
        <w:spacing w:before="240" w:after="240" w:line="240" w:lineRule="auto"/>
        <w:jc w:val="both"/>
        <w:rPr>
          <w:rFonts w:ascii="Times New Roman" w:eastAsia="Times New Roman" w:hAnsi="Times New Roman" w:cs="Times New Roman"/>
          <w:sz w:val="24"/>
          <w:szCs w:val="24"/>
        </w:rPr>
      </w:pPr>
      <w:r w:rsidRPr="00BB4172">
        <w:rPr>
          <w:rFonts w:ascii="Times New Roman" w:hAnsi="Times New Roman" w:cs="Times New Roman"/>
          <w:color w:val="000000"/>
          <w:sz w:val="24"/>
          <w:szCs w:val="24"/>
        </w:rPr>
        <w:t>The Maize Feature Store is a Python application that utilizes the Flask framework and the concept</w:t>
      </w:r>
      <w:r w:rsidRPr="00BB4172">
        <w:rPr>
          <w:rFonts w:ascii="Times New Roman" w:hAnsi="Times New Roman" w:cs="Times New Roman"/>
          <w:color w:val="000000"/>
          <w:sz w:val="24"/>
          <w:szCs w:val="24"/>
        </w:rPr>
        <w:br/>
        <w:t>of modular programming. We employed a modular software design to make MFS easily readable,</w:t>
      </w:r>
      <w:r w:rsidRPr="00BB4172">
        <w:rPr>
          <w:rFonts w:ascii="Times New Roman" w:hAnsi="Times New Roman" w:cs="Times New Roman"/>
          <w:color w:val="000000"/>
          <w:sz w:val="24"/>
          <w:szCs w:val="24"/>
        </w:rPr>
        <w:br/>
        <w:t>stable, and maintainable. The application is constructed by segmenting the code. These</w:t>
      </w:r>
      <w:r w:rsidRPr="00BB4172">
        <w:rPr>
          <w:rFonts w:ascii="Times New Roman" w:hAnsi="Times New Roman" w:cs="Times New Roman"/>
          <w:color w:val="000000"/>
          <w:sz w:val="24"/>
          <w:szCs w:val="24"/>
        </w:rPr>
        <w:br/>
        <w:t>components are referred to as modules. The goal of this separation was to have modules that were</w:t>
      </w:r>
      <w:r w:rsidRPr="00BB4172">
        <w:rPr>
          <w:rFonts w:ascii="Times New Roman" w:hAnsi="Times New Roman" w:cs="Times New Roman"/>
          <w:color w:val="000000"/>
          <w:sz w:val="24"/>
          <w:szCs w:val="24"/>
        </w:rPr>
        <w:br/>
        <w:t>self-contained or had only a few dependencies on other modules. In other words, the objective was</w:t>
      </w:r>
      <w:r w:rsidRPr="00BB4172">
        <w:rPr>
          <w:rFonts w:ascii="Times New Roman" w:hAnsi="Times New Roman" w:cs="Times New Roman"/>
          <w:color w:val="000000"/>
          <w:sz w:val="24"/>
          <w:szCs w:val="24"/>
        </w:rPr>
        <w:br/>
        <w:t>to minimize dependency. MFS is a modular system built on top of a customized Python package</w:t>
      </w:r>
      <w:r w:rsidRPr="00BB4172">
        <w:rPr>
          <w:rFonts w:ascii="Times New Roman" w:hAnsi="Times New Roman" w:cs="Times New Roman"/>
          <w:color w:val="000000"/>
          <w:sz w:val="24"/>
          <w:szCs w:val="24"/>
        </w:rPr>
        <w:br/>
      </w:r>
      <w:proofErr w:type="spellStart"/>
      <w:r w:rsidRPr="00BB4172">
        <w:rPr>
          <w:rFonts w:ascii="Times New Roman" w:hAnsi="Times New Roman" w:cs="Times New Roman"/>
          <w:color w:val="000000"/>
          <w:sz w:val="24"/>
          <w:szCs w:val="24"/>
        </w:rPr>
        <w:t>src</w:t>
      </w:r>
      <w:proofErr w:type="spellEnd"/>
      <w:r w:rsidRPr="00BB4172">
        <w:rPr>
          <w:rFonts w:ascii="Times New Roman" w:hAnsi="Times New Roman" w:cs="Times New Roman"/>
          <w:color w:val="000000"/>
          <w:sz w:val="24"/>
          <w:szCs w:val="24"/>
        </w:rPr>
        <w:t xml:space="preserve">. The </w:t>
      </w:r>
      <w:proofErr w:type="spellStart"/>
      <w:r w:rsidRPr="00BB4172">
        <w:rPr>
          <w:rFonts w:ascii="Times New Roman" w:hAnsi="Times New Roman" w:cs="Times New Roman"/>
          <w:color w:val="000000"/>
          <w:sz w:val="24"/>
          <w:szCs w:val="24"/>
        </w:rPr>
        <w:t>src</w:t>
      </w:r>
      <w:proofErr w:type="spellEnd"/>
      <w:r w:rsidRPr="00BB4172">
        <w:rPr>
          <w:rFonts w:ascii="Times New Roman" w:hAnsi="Times New Roman" w:cs="Times New Roman"/>
          <w:color w:val="000000"/>
          <w:sz w:val="24"/>
          <w:szCs w:val="24"/>
        </w:rPr>
        <w:t xml:space="preserve"> package is a directory/folder that contains multiple MFS files/folders (a.k.a. modules)</w:t>
      </w:r>
      <w:r w:rsidRPr="00BB4172">
        <w:rPr>
          <w:rFonts w:ascii="Times New Roman" w:hAnsi="Times New Roman" w:cs="Times New Roman"/>
          <w:color w:val="000000"/>
          <w:sz w:val="24"/>
          <w:szCs w:val="24"/>
        </w:rPr>
        <w:br/>
        <w:t>and can run independently of other packages. This allows us to host our application and its</w:t>
      </w:r>
      <w:r w:rsidRPr="00BB4172">
        <w:rPr>
          <w:rFonts w:ascii="Times New Roman" w:hAnsi="Times New Roman" w:cs="Times New Roman"/>
          <w:color w:val="000000"/>
          <w:sz w:val="24"/>
          <w:szCs w:val="24"/>
        </w:rPr>
        <w:br/>
        <w:t>components: app (routes/endpoints), common (database), and models (charts and features) as</w:t>
      </w:r>
      <w:r w:rsidRPr="00BB4172">
        <w:rPr>
          <w:rFonts w:ascii="Times New Roman" w:hAnsi="Times New Roman" w:cs="Times New Roman"/>
          <w:color w:val="000000"/>
          <w:sz w:val="24"/>
          <w:szCs w:val="24"/>
        </w:rPr>
        <w:br/>
        <w:t xml:space="preserve">modules within the </w:t>
      </w:r>
      <w:proofErr w:type="spellStart"/>
      <w:r w:rsidRPr="00BB4172">
        <w:rPr>
          <w:rFonts w:ascii="Times New Roman" w:hAnsi="Times New Roman" w:cs="Times New Roman"/>
          <w:color w:val="000000"/>
          <w:sz w:val="24"/>
          <w:szCs w:val="24"/>
        </w:rPr>
        <w:t>src</w:t>
      </w:r>
      <w:proofErr w:type="spellEnd"/>
      <w:r w:rsidRPr="00BB4172">
        <w:rPr>
          <w:rFonts w:ascii="Times New Roman" w:hAnsi="Times New Roman" w:cs="Times New Roman"/>
          <w:color w:val="000000"/>
          <w:sz w:val="24"/>
          <w:szCs w:val="24"/>
        </w:rPr>
        <w:t xml:space="preserve"> package. Thus, modularity has enhanced the functionality of MFS not only</w:t>
      </w:r>
      <w:r w:rsidRPr="00BB4172">
        <w:rPr>
          <w:rFonts w:ascii="Times New Roman" w:hAnsi="Times New Roman" w:cs="Times New Roman"/>
          <w:color w:val="000000"/>
          <w:sz w:val="24"/>
          <w:szCs w:val="24"/>
        </w:rPr>
        <w:br/>
        <w:t>in terms of re-usability but also by making MFS a highly extensible program that enables users to</w:t>
      </w:r>
      <w:r w:rsidRPr="00BB4172">
        <w:rPr>
          <w:rFonts w:ascii="Times New Roman" w:hAnsi="Times New Roman" w:cs="Times New Roman"/>
          <w:color w:val="000000"/>
          <w:sz w:val="24"/>
          <w:szCs w:val="24"/>
        </w:rPr>
        <w:br/>
        <w:t>add any customized function for any type of new feature.</w:t>
      </w:r>
    </w:p>
    <w:p w14:paraId="302214B4"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Univariate analysis with core or non-core genes</w:t>
      </w:r>
    </w:p>
    <w:p w14:paraId="2681034D"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3E686682" w14:textId="6AA21881"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A univariate approach evaluates a dataset by analyzing a single variable or column at a time. Several univariate methods such as Histograms, Count and Distribution plots, Box plots, and </w:t>
      </w:r>
      <w:r w:rsidRPr="00BB4172">
        <w:rPr>
          <w:rFonts w:ascii="Times New Roman" w:eastAsia="Times New Roman" w:hAnsi="Times New Roman" w:cs="Times New Roman"/>
          <w:sz w:val="24"/>
          <w:szCs w:val="24"/>
        </w:rPr>
        <w:lastRenderedPageBreak/>
        <w:t xml:space="preserve">Violin plots were used to analyze the gene structural features. Four gene structure properties were chosen: the gene length, the exon number, the three-prime UTR length, and the five-prime UTR length from the “Gene Structure” drop-down menu, and “Pan-genome” as the label from the “Labels” drop-down menu, and then performed all univariate analyses sequentially from the “Choose Analysis” section. We conducted these analyses on both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and full datasets, resulting in a grid of plots for each selected feature across different categories of the “Pan-genome” label (core genes, near-core genes, dispensable genes, and private genes)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2</w:t>
      </w:r>
      <w:r w:rsidRPr="00BB4172">
        <w:rPr>
          <w:rFonts w:ascii="Times New Roman" w:eastAsia="Times New Roman" w:hAnsi="Times New Roman" w:cs="Times New Roman"/>
          <w:sz w:val="24"/>
          <w:szCs w:val="24"/>
        </w:rPr>
        <w:t xml:space="preserve">). The plots summarize individual gene structures across the different categories of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w:t>
      </w:r>
    </w:p>
    <w:p w14:paraId="46315248"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6D2E71D0" w14:textId="77777777"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Bivariate analysis</w:t>
      </w:r>
    </w:p>
    <w:p w14:paraId="29D13AB7" w14:textId="6792FF34"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We performed two types of bivariate analysis: Scatter plots and Joint plots on the gene structural features. Due to the nature of the bivariate analysis, we selected two gene structural features, the three-prime UTR length, and the five-prime UTR length, from the “Gene Structures” drop-down menu and the “Pan-genome” label from the “Labels” drop-down menu, and then performed each bivariate analysis individually from the “Choose Analysis” section. These analyses were conducted on both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and full datasets. Our outputs were interactive plots illustrating the relationship between two selected variables, with each variable represented on its own axis. These plots are labeled according to the different categories of the “Pan-genome” label (core genes, near-core genes, dispensable genes, and private genes) to allow for simultaneous viewing of the pairs' relationships across the various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 categories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3</w:t>
      </w:r>
      <w:r w:rsidRPr="00BB4172">
        <w:rPr>
          <w:rFonts w:ascii="Times New Roman" w:eastAsia="Times New Roman" w:hAnsi="Times New Roman" w:cs="Times New Roman"/>
          <w:sz w:val="24"/>
          <w:szCs w:val="24"/>
        </w:rPr>
        <w:t>).</w:t>
      </w:r>
    </w:p>
    <w:p w14:paraId="5AC64596"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036873CC"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Multivariate analysis with core or non-core genes</w:t>
      </w:r>
    </w:p>
    <w:p w14:paraId="592F0697"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7C1CB282" w14:textId="0D554EC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As the name implies, multivariate analysis is used to visualize the relationship between more than two data variables. Using the “Gene Structures” drop-down menu, we selected five gene structures: gene length, exon number, three-prime UTR length, five-prime UTR length, CDS length, and the “Pan-genome” label from the “Labels” drop-down menu.  We ran the multivariate analysis (Pair plots and Correlation plots) one by one from the “Choose Analysis” section. We conducted these analyses on both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and full datasets. The multivariate plots provide a quick visual summary of the potential association between all selected features of interest, and like the bivariate analysis, the plots are labeled according to the different categories of the “Pan-genome” label (core genes, near-core genes, dispensable genes, and private genes) to allow for simultaneous viewing of the relationship between the selected features across the various categories of the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label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4</w:t>
      </w:r>
      <w:r w:rsidRPr="00BB4172">
        <w:rPr>
          <w:rFonts w:ascii="Times New Roman" w:eastAsia="Times New Roman" w:hAnsi="Times New Roman" w:cs="Times New Roman"/>
          <w:sz w:val="24"/>
          <w:szCs w:val="24"/>
        </w:rPr>
        <w:t>). By simultaneously exploring gene structure features, we can observe that several features are significantly correlated in both core and non-core genes. Therefore, the plots can initially demonstrate how the different genomic features can significantly contribute to our understanding of core or non-core genes and highlight the potential for gene structural features in core/non-core gene classification.</w:t>
      </w:r>
    </w:p>
    <w:p w14:paraId="73F91564"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35B69A62"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Independent multivariate analysis</w:t>
      </w:r>
    </w:p>
    <w:p w14:paraId="394D8196"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6D71251E" w14:textId="1CBBD674"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Heatmaps are another efficient way of carrying out multivariate analysis. In our application, the Heatmaps are generated for the first 100 genes of the selected label’s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dataset</w:t>
      </w:r>
      <w:r w:rsidR="00BD6231" w:rsidRPr="00BB4172">
        <w:rPr>
          <w:rFonts w:ascii="Times New Roman" w:eastAsia="Times New Roman" w:hAnsi="Times New Roman" w:cs="Times New Roman"/>
          <w:sz w:val="24"/>
          <w:szCs w:val="24"/>
        </w:rPr>
        <w:t xml:space="preserve">.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4</w:t>
      </w:r>
      <w:r w:rsidRPr="00BB4172">
        <w:rPr>
          <w:rFonts w:ascii="Times New Roman" w:eastAsia="Times New Roman" w:hAnsi="Times New Roman" w:cs="Times New Roman"/>
          <w:sz w:val="24"/>
          <w:szCs w:val="24"/>
        </w:rPr>
        <w:t xml:space="preserve">E presents a heatmap that illustrates the relationship of the first 100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 with the selected gene structures: gene length, exon number, three-prime UTR </w:t>
      </w:r>
      <w:r w:rsidRPr="00BB4172">
        <w:rPr>
          <w:rFonts w:ascii="Times New Roman" w:eastAsia="Times New Roman" w:hAnsi="Times New Roman" w:cs="Times New Roman"/>
          <w:sz w:val="24"/>
          <w:szCs w:val="24"/>
        </w:rPr>
        <w:lastRenderedPageBreak/>
        <w:t xml:space="preserve">length, and CDS length. The heatmap only displays the first 100 genes of the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dataset due to time and data complexity constraints. However, users are free to customize the script to display more genes.</w:t>
      </w:r>
    </w:p>
    <w:p w14:paraId="28A9D0A2"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15B59D83"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Exploratory analysis with unsupervised machine learning</w:t>
      </w:r>
    </w:p>
    <w:p w14:paraId="73686914"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079410D7" w14:textId="6D1ECF6B"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Due to time and data complexity, the unsupervised machine-learning modules are only available for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datasets of the selected label. In addition, the selected labels act as features during the application of unsupervised machine-learning modules. For example, upon selecting any label (“Pan-genome” in this case), the unsupervised ML modules are applied to the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 and will assist users in further identifying the distinct clusters within the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 according to the similarity among them. This module covers two major classes of techniques: clustering and dimension reduction. The clustering of numerical features was demonstrated with gene expression data using the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Dendrogram plots,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Scatter plots, and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Heatmaps</w:t>
      </w:r>
      <w:r w:rsidR="000F081A"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Users can select their preferred gene expression data set. We will present an example of clustering categorical features using the Protein localization dataset. Gene clustering works as if the genes are not already clustered or grouped.</w:t>
      </w:r>
    </w:p>
    <w:p w14:paraId="5656C339"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598C479C" w14:textId="4AFA5371"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To perform clustering analysis with the numerical features, we selected the Fowler Lab dataset containing transcriptomics data from four male reproductive stages of maize (tassel primordia, microspores, mature pollen, and sperm cells) </w:t>
      </w:r>
      <w:r w:rsidRPr="00BB4172">
        <w:rPr>
          <w:rFonts w:ascii="Times New Roman" w:eastAsia="Times New Roman" w:hAnsi="Times New Roman" w:cs="Times New Roman"/>
          <w:sz w:val="24"/>
          <w:szCs w:val="24"/>
        </w:rPr>
        <w:fldChar w:fldCharType="begin">
          <w:fldData xml:space="preserve">PEVuZE5vdGU+PENpdGU+PEF1dGhvcj5XYXJtYW48L0F1dGhvcj48WWVhcj4yMDIwPC9ZZWFyPjxS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</w:fldData>
        </w:fldChar>
      </w:r>
      <w:r w:rsidR="00191784" w:rsidRPr="00BB4172">
        <w:rPr>
          <w:rFonts w:ascii="Times New Roman" w:eastAsia="Times New Roman" w:hAnsi="Times New Roman" w:cs="Times New Roman"/>
          <w:sz w:val="24"/>
          <w:szCs w:val="24"/>
        </w:rPr>
        <w:instrText xml:space="preserve"> ADDIN EN.CITE </w:instrText>
      </w:r>
      <w:r w:rsidR="00191784" w:rsidRPr="00BB4172">
        <w:rPr>
          <w:rFonts w:ascii="Times New Roman" w:eastAsia="Times New Roman" w:hAnsi="Times New Roman" w:cs="Times New Roman"/>
          <w:sz w:val="24"/>
          <w:szCs w:val="24"/>
        </w:rPr>
        <w:fldChar w:fldCharType="begin">
          <w:fldData xml:space="preserve">PEVuZE5vdGU+PENpdGU+PEF1dGhvcj5XYXJtYW48L0F1dGhvcj48WWVhcj4yMDIwPC9ZZWFyPjxS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</w:fldData>
        </w:fldChar>
      </w:r>
      <w:r w:rsidR="00191784" w:rsidRPr="00BB4172">
        <w:rPr>
          <w:rFonts w:ascii="Times New Roman" w:eastAsia="Times New Roman" w:hAnsi="Times New Roman" w:cs="Times New Roman"/>
          <w:sz w:val="24"/>
          <w:szCs w:val="24"/>
        </w:rPr>
        <w:instrText xml:space="preserve"> ADDIN EN.CITE.DATA </w:instrText>
      </w:r>
      <w:r w:rsidR="00191784" w:rsidRPr="00BB4172">
        <w:rPr>
          <w:rFonts w:ascii="Times New Roman" w:eastAsia="Times New Roman" w:hAnsi="Times New Roman" w:cs="Times New Roman"/>
          <w:sz w:val="24"/>
          <w:szCs w:val="24"/>
        </w:rPr>
      </w:r>
      <w:r w:rsidR="00191784" w:rsidRPr="00BB4172">
        <w:rPr>
          <w:rFonts w:ascii="Times New Roman" w:eastAsia="Times New Roman" w:hAnsi="Times New Roman" w:cs="Times New Roman"/>
          <w:sz w:val="24"/>
          <w:szCs w:val="24"/>
        </w:rPr>
        <w:fldChar w:fldCharType="end"/>
      </w:r>
      <w:r w:rsidRPr="00BB4172">
        <w:rPr>
          <w:rFonts w:ascii="Times New Roman" w:eastAsia="Times New Roman" w:hAnsi="Times New Roman" w:cs="Times New Roman"/>
          <w:sz w:val="24"/>
          <w:szCs w:val="24"/>
        </w:rPr>
      </w:r>
      <w:r w:rsidRPr="00BB4172">
        <w:rPr>
          <w:rFonts w:ascii="Times New Roman" w:eastAsia="Times New Roman" w:hAnsi="Times New Roman" w:cs="Times New Roman"/>
          <w:sz w:val="24"/>
          <w:szCs w:val="24"/>
        </w:rPr>
        <w:fldChar w:fldCharType="separate"/>
      </w:r>
      <w:r w:rsidR="00191784" w:rsidRPr="00BB4172">
        <w:rPr>
          <w:rFonts w:ascii="Times New Roman" w:eastAsia="Times New Roman" w:hAnsi="Times New Roman" w:cs="Times New Roman"/>
          <w:noProof/>
          <w:sz w:val="24"/>
          <w:szCs w:val="24"/>
        </w:rPr>
        <w:t>(1)</w:t>
      </w:r>
      <w:r w:rsidRPr="00BB4172">
        <w:rPr>
          <w:rFonts w:ascii="Times New Roman" w:eastAsia="Times New Roman" w:hAnsi="Times New Roman" w:cs="Times New Roman"/>
          <w:sz w:val="24"/>
          <w:szCs w:val="24"/>
        </w:rPr>
        <w:fldChar w:fldCharType="end"/>
      </w:r>
      <w:r w:rsidRPr="00BB4172">
        <w:rPr>
          <w:rFonts w:ascii="Times New Roman" w:eastAsia="Times New Roman" w:hAnsi="Times New Roman" w:cs="Times New Roman"/>
          <w:sz w:val="24"/>
          <w:szCs w:val="24"/>
        </w:rPr>
        <w:t xml:space="preserve"> from the “Gene Expression” dropdown menu. We ran all clustering algorithms: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Dendrogram plot,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Scatter plot, and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Heatmap from the “Choose Analysis” dropdown menu (</w:t>
      </w:r>
      <w:proofErr w:type="gramStart"/>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Figure</w:t>
      </w:r>
      <w:proofErr w:type="gramEnd"/>
      <w:r w:rsidRPr="00BB4172">
        <w:rPr>
          <w:rFonts w:ascii="Times New Roman" w:eastAsia="Times New Roman" w:hAnsi="Times New Roman" w:cs="Times New Roman"/>
          <w:sz w:val="24"/>
          <w:szCs w:val="24"/>
        </w:rPr>
        <w:t xml:space="preserv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 For the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Scatter plot, we need to specify the number of clusters we want to view. Moreover, this number of clusters corresponds to the number of clusters formed in the Dendrogram plot, so we perform this analysis only after studying the Dendrogram plot. The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Scatter plot is dynamically sized for the number of clusters, so every user can analyze the dataset based on how many clusters they believe the selected data is forming.</w:t>
      </w:r>
    </w:p>
    <w:p w14:paraId="75A406B5"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30A24232" w14:textId="29EBE3ED"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Based on the Dendrogram in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A, we can see strong groups of genes forming across the dataset. Using the Dendrogram, we can visually determine how many groups we should focus on based on the height of the Dendrogram, where the heights reflect the distance between the clusters, as shown in the zoomed Dendrogram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A. In general, the higher the height, the farther apart two objects or genes appear. For example, we can imagine sliding a horizontal line down the Dendrogram and cutting it into different groups. For simplicity, we can imagine three main clusters forming in our Dendrogram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A, showing a big difference between the green cluster, red cluster, and blue cluster. Therefore, we use the same number of clusters as an input for our </w:t>
      </w:r>
      <w:proofErr w:type="spellStart"/>
      <w:r w:rsidRPr="00BB4172">
        <w:rPr>
          <w:rFonts w:ascii="Times New Roman" w:eastAsia="Times New Roman" w:hAnsi="Times New Roman" w:cs="Times New Roman"/>
          <w:sz w:val="24"/>
          <w:szCs w:val="24"/>
        </w:rPr>
        <w:t>Downsampled</w:t>
      </w:r>
      <w:proofErr w:type="spellEnd"/>
      <w:r w:rsidRPr="00BB4172">
        <w:rPr>
          <w:rFonts w:ascii="Times New Roman" w:eastAsia="Times New Roman" w:hAnsi="Times New Roman" w:cs="Times New Roman"/>
          <w:sz w:val="24"/>
          <w:szCs w:val="24"/>
        </w:rPr>
        <w:t xml:space="preserve"> Hierarchical Scatter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B). </w:t>
      </w:r>
    </w:p>
    <w:p w14:paraId="5A508F63" w14:textId="77777777" w:rsidR="000F081A" w:rsidRPr="00BB4172" w:rsidRDefault="000F081A" w:rsidP="0032095F">
      <w:pPr>
        <w:shd w:val="clear" w:color="auto" w:fill="FFFFFF"/>
        <w:spacing w:line="240" w:lineRule="auto"/>
        <w:jc w:val="both"/>
        <w:rPr>
          <w:rFonts w:ascii="Times New Roman" w:eastAsia="Times New Roman" w:hAnsi="Times New Roman" w:cs="Times New Roman"/>
          <w:sz w:val="24"/>
          <w:szCs w:val="24"/>
        </w:rPr>
      </w:pPr>
    </w:p>
    <w:p w14:paraId="5BD23621" w14:textId="5993B8C3"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The Hierarchical Scatter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B) created with the Fowler Lab expression data is a Pair plot that visualizes the associations between different pairs of the lab tissues across the gene clusters formed during Dendrogram analysis. For example, the expression levels of genes </w:t>
      </w:r>
      <w:r w:rsidRPr="00BB4172">
        <w:rPr>
          <w:rFonts w:ascii="Times New Roman" w:eastAsia="Times New Roman" w:hAnsi="Times New Roman" w:cs="Times New Roman"/>
          <w:sz w:val="24"/>
          <w:szCs w:val="24"/>
        </w:rPr>
        <w:lastRenderedPageBreak/>
        <w:t>in Cluster 0 are lower. Furthermore, Cluster 2 genes are expressed more in the Microspore than in the Sperm cell tissue.</w:t>
      </w:r>
    </w:p>
    <w:p w14:paraId="2A737225" w14:textId="1323FD7D"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The output from the Hierarchical Heatmap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C) allows us to simultaneously visualize clusters of samples (selected experiment tissues) in the column and features (genes) in the rows. Although the gene expression across the four tissues shows similar patterns in the Fowler data, upon closer inspection, we will be able to see some groups of genes upregulated in Tassel Primordia tissue and downregulated in Sperm Cell tissue. In addition, this plot allows us to see how tissues group together. The Tassel Primordia, Microspore, and Bicellular Male Gametophyte cluster together, whereas the Sperm cell tissue forms its own cluster. It can be important to see, for example, if all the replicates of an experiment cluster together.</w:t>
      </w:r>
    </w:p>
    <w:p w14:paraId="29EECD55" w14:textId="46AD3678"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Clustering analysis with categorical features was carried out using Protein localization features selected from the dropdown menu "Protein Localization" and "K-mode" clustering algorithms chosen from the dropdown menu "Choose Analysis.” The output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5</w:t>
      </w:r>
      <w:r w:rsidRPr="00BB4172">
        <w:rPr>
          <w:rFonts w:ascii="Times New Roman" w:eastAsia="Times New Roman" w:hAnsi="Times New Roman" w:cs="Times New Roman"/>
          <w:sz w:val="24"/>
          <w:szCs w:val="24"/>
        </w:rPr>
        <w:t xml:space="preserve">D) consists of k-mode bar plots displaying three gene clusters derived from the categorical features (subcel1, subcel2, subcel3, subcel4, subcel5,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The localization features subcel1, subcel2, subcel3, subcel4, subcel5, are comprised of predicted subcellular localizations such as nucleus, cytoplasm, extracellular, mitochondria, cell membrane, endoplasmic reticulum, plastid, </w:t>
      </w:r>
      <w:proofErr w:type="spellStart"/>
      <w:r w:rsidRPr="00BB4172">
        <w:rPr>
          <w:rFonts w:ascii="Times New Roman" w:eastAsia="Times New Roman" w:hAnsi="Times New Roman" w:cs="Times New Roman"/>
          <w:sz w:val="24"/>
          <w:szCs w:val="24"/>
        </w:rPr>
        <w:t>golgi</w:t>
      </w:r>
      <w:proofErr w:type="spellEnd"/>
      <w:r w:rsidRPr="00BB4172">
        <w:rPr>
          <w:rFonts w:ascii="Times New Roman" w:eastAsia="Times New Roman" w:hAnsi="Times New Roman" w:cs="Times New Roman"/>
          <w:sz w:val="24"/>
          <w:szCs w:val="24"/>
        </w:rPr>
        <w:t xml:space="preserve"> apparatus, lysosome/vacuole, peroxisome generated from the protein sequences using the tool </w:t>
      </w:r>
      <w:proofErr w:type="spellStart"/>
      <w:r w:rsidRPr="00BB4172">
        <w:rPr>
          <w:rFonts w:ascii="Times New Roman" w:eastAsia="Times New Roman" w:hAnsi="Times New Roman" w:cs="Times New Roman"/>
          <w:sz w:val="24"/>
          <w:szCs w:val="24"/>
        </w:rPr>
        <w:t>WolfPsort</w:t>
      </w:r>
      <w:proofErr w:type="spellEnd"/>
      <w:r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fldChar w:fldCharType="begin"/>
      </w:r>
      <w:r w:rsidR="00191784" w:rsidRPr="00BB4172">
        <w:rPr>
          <w:rFonts w:ascii="Times New Roman" w:eastAsia="Times New Roman" w:hAnsi="Times New Roman" w:cs="Times New Roman"/>
          <w:sz w:val="24"/>
          <w:szCs w:val="24"/>
        </w:rPr>
        <w:instrText xml:space="preserve"> ADDIN EN.CITE &lt;EndNote&gt;&lt;Cite&gt;&lt;Author&gt;Horton&lt;/Author&gt;&lt;Year&gt;2007&lt;/Year&gt;&lt;RecNum&gt;110&lt;/RecNum&gt;&lt;DisplayText&gt;(2)&lt;/DisplayText&gt;&lt;record&gt;&lt;rec-number&gt;110&lt;/rec-number&gt;&lt;foreign-keys&gt;&lt;key app="EN" db-id="0vdvfdasstz9elersssvtx0wxddtezer00dt" timestamp="1669181181"&gt;110&lt;/key&gt;&lt;/foreign-keys&gt;&lt;ref-type name="Journal Article"&gt;17&lt;/ref-type&gt;&lt;contributors&gt;&lt;authors&gt;&lt;author&gt;Horton, P.&lt;/author&gt;&lt;author&gt;Park, K. J.&lt;/author&gt;&lt;author&gt;Obayashi, T.&lt;/author&gt;&lt;author&gt;Fujita, N.&lt;/author&gt;&lt;author&gt;Harada, H.&lt;/author&gt;&lt;author&gt;Adams-Collier, C. J.&lt;/author&gt;&lt;author&gt;Nakai, K.&lt;/author&gt;&lt;/authors&gt;&lt;/contributors&gt;&lt;auth-address&gt;Computational Biology Research Center, AIST, Tokyo, Japan.&lt;/auth-address&gt;&lt;titles&gt;&lt;title&gt;WoLF PSORT: protein localization predictor&lt;/title&gt;&lt;secondary-title&gt;Nucleic Acids Res&lt;/secondary-title&gt;&lt;/titles&gt;&lt;periodical&gt;&lt;full-title&gt;Nucleic Acids Res&lt;/full-title&gt;&lt;/periodical&gt;&lt;pages&gt;W585-7&lt;/pages&gt;&lt;volume&gt;35&lt;/volume&gt;&lt;number&gt;Web Server issue&lt;/number&gt;&lt;edition&gt;20070521&lt;/edition&gt;&lt;keywords&gt;&lt;keyword&gt;Arabidopsis&lt;/keyword&gt;&lt;keyword&gt;Computational Biology/*methods&lt;/keyword&gt;&lt;keyword&gt;Databases, Protein&lt;/keyword&gt;&lt;keyword&gt;Humans&lt;/keyword&gt;&lt;keyword&gt;Internet&lt;/keyword&gt;&lt;keyword&gt;Membrane Proteins/analysis/chemistry&lt;/keyword&gt;&lt;keyword&gt;Models, Statistical&lt;/keyword&gt;&lt;keyword&gt;Programming Languages&lt;/keyword&gt;&lt;keyword&gt;Protein Sorting Signals&lt;/keyword&gt;&lt;keyword&gt;Protein Structure, Secondary&lt;/keyword&gt;&lt;keyword&gt;Proteins/*analysis/*chemistry&lt;/keyword&gt;&lt;keyword&gt;Reproducibility of Results&lt;/keyword&gt;&lt;keyword&gt;Sequence Analysis, Protein/*methods&lt;/keyword&gt;&lt;keyword&gt;*Software&lt;/keyword&gt;&lt;/keywords&gt;&lt;dates&gt;&lt;year&gt;2007&lt;/year&gt;&lt;pub-dates&gt;&lt;date&gt;Jul&lt;/date&gt;&lt;/pub-dates&gt;&lt;/dates&gt;&lt;isbn&gt;1362-4962 (Electronic)&amp;#xD;0305-1048 (Print)&amp;#xD;0305-1048 (Linking)&lt;/isbn&gt;&lt;accession-num&gt;17517783&lt;/accession-num&gt;&lt;urls&gt;&lt;related-urls&gt;&lt;url&gt;https://www.ncbi.nlm.nih.gov/pubmed/17517783&lt;/url&gt;&lt;/related-urls&gt;&lt;/urls&gt;&lt;custom2&gt;PMC1933216&lt;/custom2&gt;&lt;electronic-resource-num&gt;10.1093/nar/gkm259&lt;/electronic-resource-num&gt;&lt;/record&gt;&lt;/Cite&gt;&lt;/EndNote&gt;</w:instrText>
      </w:r>
      <w:r w:rsidRPr="00BB4172">
        <w:rPr>
          <w:rFonts w:ascii="Times New Roman" w:eastAsia="Times New Roman" w:hAnsi="Times New Roman" w:cs="Times New Roman"/>
          <w:sz w:val="24"/>
          <w:szCs w:val="24"/>
        </w:rPr>
        <w:fldChar w:fldCharType="separate"/>
      </w:r>
      <w:r w:rsidR="00191784" w:rsidRPr="00BB4172">
        <w:rPr>
          <w:rFonts w:ascii="Times New Roman" w:eastAsia="Times New Roman" w:hAnsi="Times New Roman" w:cs="Times New Roman"/>
          <w:noProof/>
          <w:sz w:val="24"/>
          <w:szCs w:val="24"/>
        </w:rPr>
        <w:t>(2)</w:t>
      </w:r>
      <w:r w:rsidRPr="00BB4172">
        <w:rPr>
          <w:rFonts w:ascii="Times New Roman" w:eastAsia="Times New Roman" w:hAnsi="Times New Roman" w:cs="Times New Roman"/>
          <w:sz w:val="24"/>
          <w:szCs w:val="24"/>
        </w:rPr>
        <w:fldChar w:fldCharType="end"/>
      </w:r>
      <w:r w:rsidRPr="00BB4172">
        <w:rPr>
          <w:rFonts w:ascii="Times New Roman" w:eastAsia="Times New Roman" w:hAnsi="Times New Roman" w:cs="Times New Roman"/>
          <w:sz w:val="24"/>
          <w:szCs w:val="24"/>
        </w:rPr>
        <w:t>. The X-axis on the K-mode bar plot represents the K-clusters within each category of selected Protein localization. The Y-axis displays the frequency of K-clusters within each category of Protein localization.</w:t>
      </w:r>
    </w:p>
    <w:p w14:paraId="49481231" w14:textId="77777777"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 xml:space="preserve">We selected the Fowler lab data set from the "Gene Expression" drop-down menu to conduct a principal component analysis and ran all available PCA analyses: PCA 2D variables cluster, PCA 2D observation cluster, PCA 2D biplot cluster, PCA 3D variables cluster, and PCA 3D observation cluster. Additionally, label selection is essential for PCA analysis to determine the relationship between several gene expression features aggregated into principal components on the various categories of core or non-core genes. </w:t>
      </w:r>
    </w:p>
    <w:p w14:paraId="6CEEB33F" w14:textId="51F8FB95" w:rsidR="0032095F" w:rsidRPr="00BB4172" w:rsidRDefault="0032095F" w:rsidP="0032095F">
      <w:pPr>
        <w:shd w:val="clear" w:color="auto" w:fill="FFFFFF"/>
        <w:spacing w:after="120"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The PCA 2D variables cluster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xml:space="preserve">A) shows the relationship or similarity between the variables (treatment or tissues), where the proximity of the points indicates similarity. The first two principal components account for 95% of the variation among treatments or tissues in the plot. In the plot, we can see that the Microspore, Bicellular male gametophyte and the Tassel Primordia tissues are positioned together, while the Sperm cells are positioned slightly farther along the first and the second principal component, respectively. Therefore, with PCA 2D variables cluster plots, we can visualize how certain tissues from the same lab cluster together. </w:t>
      </w:r>
    </w:p>
    <w:p w14:paraId="1C5F62BD" w14:textId="57D8527A"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PCA 2D observation cluster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xml:space="preserve">B) depicts the correlation (or similarity) between observations (gene models) across multiple treatments. According to the plot, the first two PCs account for 86% of the total variation in the gene expression dataset, which is an excellent approximation of the variation present in the original 4D dataset. In this graph, a large majority of the data points are near each other, which indicates that the observations (gene expression values of the different </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Pan-genome</w:t>
      </w:r>
      <w:r w:rsidR="00FC2F0C" w:rsidRPr="00BB4172">
        <w:rPr>
          <w:rFonts w:ascii="Times New Roman" w:eastAsia="Times New Roman" w:hAnsi="Times New Roman" w:cs="Times New Roman"/>
          <w:sz w:val="24"/>
          <w:szCs w:val="24"/>
        </w:rPr>
        <w:t>”</w:t>
      </w:r>
      <w:r w:rsidRPr="00BB4172">
        <w:rPr>
          <w:rFonts w:ascii="Times New Roman" w:eastAsia="Times New Roman" w:hAnsi="Times New Roman" w:cs="Times New Roman"/>
          <w:sz w:val="24"/>
          <w:szCs w:val="24"/>
        </w:rPr>
        <w:t xml:space="preserve"> genes) are similar (usually lower) across the four tissues. However, the core and near-core genes tend to have slightly higher expression levels across the four tissues than the private and the dispensable genes. Observations further out are either outliers or naturally extreme observations. Plot observations are annotated with shapes and colors to highlight gene models and gene types (core/non-core). In this way, we can easily hover over </w:t>
      </w:r>
      <w:r w:rsidRPr="00BB4172">
        <w:rPr>
          <w:rFonts w:ascii="Times New Roman" w:eastAsia="Times New Roman" w:hAnsi="Times New Roman" w:cs="Times New Roman"/>
          <w:sz w:val="24"/>
          <w:szCs w:val="24"/>
        </w:rPr>
        <w:lastRenderedPageBreak/>
        <w:t>any data point, especially outliers, to find gene models with extreme gene expression values across various tissue types.</w:t>
      </w:r>
    </w:p>
    <w:p w14:paraId="125BA10A" w14:textId="77777777"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p>
    <w:p w14:paraId="603DAED5" w14:textId="206A3582" w:rsidR="0032095F" w:rsidRPr="00BB4172" w:rsidRDefault="0032095F" w:rsidP="0032095F">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PCA 2D biplot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C</w:t>
      </w:r>
      <w:r w:rsidR="00BD6231" w:rsidRPr="00BB4172">
        <w:rPr>
          <w:rFonts w:ascii="Times New Roman" w:eastAsia="Times New Roman" w:hAnsi="Times New Roman" w:cs="Times New Roman"/>
          <w:sz w:val="24"/>
          <w:szCs w:val="24"/>
        </w:rPr>
        <w:t>-</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xml:space="preserve">D) combines the PCA 2D variables cluster plots and the PCA 2D observation cluster plots. Lined vectors in the biplot represent the PCA 2D variables cluster plots. The biplot shows the relationship between all genes and treatments (core/non-core).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xml:space="preserve">C shows how the first principal component (x-axis) correlates to the mean response of genes (colors), accounting for 66.3% of the variation. The x-axis values for all treatments (vectors) are similar with positive values, and the data points are centered under the labels. Genes to the right of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C are highly expressed, while genes to the left of the center are downregulated in all treatments, as determined by the gene score and treatment vector. In summary, the biplot displays the same information as the other two PCA plots but retains a greater amount of information about individual gene responses while also presenting global expression effects. The second axis, which accounts for an extra 20.1% of overall variation, has a lower impact on the gene responses contrast across the different treatments. The angles between the vectors or variables tell us how variables are related. When two vectors form a small angle, they represent highly correlated variables. They are unlikely to be correlated if they meet at 90°. They are negatively correlated when they diverge and form a large angle (close to 180°). The length of vectors in biplot refers to the amount of variance contributed by the vector. Generally, the more length the vector has, the more variance it contributes to space and represents it better.</w:t>
      </w:r>
    </w:p>
    <w:p w14:paraId="0B64479D" w14:textId="77777777" w:rsidR="00D72A8F" w:rsidRPr="00BB4172" w:rsidRDefault="00D72A8F" w:rsidP="0032095F">
      <w:pPr>
        <w:shd w:val="clear" w:color="auto" w:fill="FFFFFF"/>
        <w:spacing w:line="240" w:lineRule="auto"/>
        <w:jc w:val="both"/>
        <w:rPr>
          <w:rFonts w:ascii="Times New Roman" w:eastAsia="Times New Roman" w:hAnsi="Times New Roman" w:cs="Times New Roman"/>
          <w:sz w:val="24"/>
          <w:szCs w:val="24"/>
        </w:rPr>
      </w:pPr>
    </w:p>
    <w:p w14:paraId="32E02E95" w14:textId="4E082863" w:rsidR="00191784" w:rsidRPr="00BB4172" w:rsidRDefault="0032095F" w:rsidP="00191784">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t>Additionally, the PCA 3D variables cluster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E) and the PCA 3D observation cluster plot (</w:t>
      </w:r>
      <w:r w:rsidR="00BD6231" w:rsidRPr="00BB4172">
        <w:rPr>
          <w:rFonts w:ascii="Times New Roman" w:hAnsi="Times New Roman" w:cs="Times New Roman"/>
          <w:color w:val="000000"/>
          <w:sz w:val="24"/>
          <w:szCs w:val="24"/>
        </w:rPr>
        <w:t>Supplementary</w:t>
      </w:r>
      <w:r w:rsidR="00BD6231" w:rsidRPr="00BB4172">
        <w:rPr>
          <w:rFonts w:ascii="Times New Roman" w:eastAsia="Times New Roman" w:hAnsi="Times New Roman" w:cs="Times New Roman"/>
          <w:sz w:val="24"/>
          <w:szCs w:val="24"/>
        </w:rPr>
        <w:t xml:space="preserve"> </w:t>
      </w:r>
      <w:r w:rsidRPr="00BB4172">
        <w:rPr>
          <w:rFonts w:ascii="Times New Roman" w:eastAsia="Times New Roman" w:hAnsi="Times New Roman" w:cs="Times New Roman"/>
          <w:sz w:val="24"/>
          <w:szCs w:val="24"/>
        </w:rPr>
        <w:t xml:space="preserve">Figure </w:t>
      </w:r>
      <w:r w:rsidR="00A83F84" w:rsidRPr="00BB4172">
        <w:rPr>
          <w:rFonts w:ascii="Times New Roman" w:eastAsia="Times New Roman" w:hAnsi="Times New Roman" w:cs="Times New Roman"/>
          <w:sz w:val="24"/>
          <w:szCs w:val="24"/>
        </w:rPr>
        <w:t>S</w:t>
      </w:r>
      <w:r w:rsidR="00BD6231" w:rsidRPr="00BB4172">
        <w:rPr>
          <w:rFonts w:ascii="Times New Roman" w:eastAsia="Times New Roman" w:hAnsi="Times New Roman" w:cs="Times New Roman"/>
          <w:sz w:val="24"/>
          <w:szCs w:val="24"/>
        </w:rPr>
        <w:t>6</w:t>
      </w:r>
      <w:r w:rsidRPr="00BB4172">
        <w:rPr>
          <w:rFonts w:ascii="Times New Roman" w:eastAsia="Times New Roman" w:hAnsi="Times New Roman" w:cs="Times New Roman"/>
          <w:sz w:val="24"/>
          <w:szCs w:val="24"/>
        </w:rPr>
        <w:t xml:space="preserve">F) </w:t>
      </w:r>
      <w:proofErr w:type="gramStart"/>
      <w:r w:rsidRPr="00BB4172">
        <w:rPr>
          <w:rFonts w:ascii="Times New Roman" w:eastAsia="Times New Roman" w:hAnsi="Times New Roman" w:cs="Times New Roman"/>
          <w:sz w:val="24"/>
          <w:szCs w:val="24"/>
        </w:rPr>
        <w:t>are</w:t>
      </w:r>
      <w:proofErr w:type="gramEnd"/>
      <w:r w:rsidRPr="00BB4172">
        <w:rPr>
          <w:rFonts w:ascii="Times New Roman" w:eastAsia="Times New Roman" w:hAnsi="Times New Roman" w:cs="Times New Roman"/>
          <w:sz w:val="24"/>
          <w:szCs w:val="24"/>
        </w:rPr>
        <w:t xml:space="preserve"> similar to the PCA 2D variables cluster plot and the PCA 2D observation cluster plot; however, instead of two principal components, now we can observe three principal components that contribute to most of the variance present in the original high-dimensional dataset. </w:t>
      </w:r>
    </w:p>
    <w:p w14:paraId="2A023329" w14:textId="31717387" w:rsidR="00191784" w:rsidRPr="00BB4172" w:rsidRDefault="00191784" w:rsidP="00191784">
      <w:pPr>
        <w:shd w:val="clear" w:color="auto" w:fill="FFFFFF"/>
        <w:spacing w:line="240" w:lineRule="auto"/>
        <w:jc w:val="both"/>
        <w:rPr>
          <w:rFonts w:ascii="Times New Roman" w:eastAsia="Times New Roman" w:hAnsi="Times New Roman" w:cs="Times New Roman"/>
          <w:sz w:val="24"/>
          <w:szCs w:val="24"/>
        </w:rPr>
      </w:pPr>
    </w:p>
    <w:p w14:paraId="6869CE65" w14:textId="37DE4B4C" w:rsidR="00191784" w:rsidRPr="00BB4172" w:rsidRDefault="00191784" w:rsidP="00191784">
      <w:pPr>
        <w:spacing w:before="240" w:after="240" w:line="240" w:lineRule="auto"/>
        <w:jc w:val="both"/>
        <w:rPr>
          <w:rStyle w:val="fontstyle01"/>
          <w:rFonts w:ascii="Times New Roman" w:hAnsi="Times New Roman" w:cs="Times New Roman"/>
        </w:rPr>
      </w:pPr>
      <w:r w:rsidRPr="00BB4172">
        <w:rPr>
          <w:rStyle w:val="fontstyle01"/>
          <w:rFonts w:ascii="Times New Roman" w:hAnsi="Times New Roman" w:cs="Times New Roman"/>
        </w:rPr>
        <w:t>References</w:t>
      </w:r>
    </w:p>
    <w:p w14:paraId="73CA07F9" w14:textId="77777777" w:rsidR="00191784" w:rsidRPr="00BB4172" w:rsidRDefault="00191784" w:rsidP="00191784">
      <w:pPr>
        <w:shd w:val="clear" w:color="auto" w:fill="FFFFFF"/>
        <w:spacing w:line="240" w:lineRule="auto"/>
        <w:jc w:val="both"/>
        <w:rPr>
          <w:rFonts w:ascii="Times New Roman" w:eastAsia="Times New Roman" w:hAnsi="Times New Roman" w:cs="Times New Roman"/>
          <w:sz w:val="24"/>
          <w:szCs w:val="24"/>
        </w:rPr>
      </w:pPr>
    </w:p>
    <w:p w14:paraId="29676B68" w14:textId="0C9AF049" w:rsidR="00191784" w:rsidRPr="00BB4172" w:rsidRDefault="00191784" w:rsidP="00191784">
      <w:pPr>
        <w:pStyle w:val="EndNoteBibliography"/>
        <w:ind w:left="720" w:hanging="720"/>
        <w:jc w:val="both"/>
        <w:rPr>
          <w:rFonts w:ascii="Times New Roman" w:hAnsi="Times New Roman" w:cs="Times New Roman"/>
        </w:rPr>
      </w:pPr>
      <w:r w:rsidRPr="00BB4172">
        <w:rPr>
          <w:rFonts w:ascii="Times New Roman" w:eastAsia="Times New Roman" w:hAnsi="Times New Roman" w:cs="Times New Roman"/>
          <w:sz w:val="24"/>
          <w:szCs w:val="24"/>
        </w:rPr>
        <w:fldChar w:fldCharType="begin"/>
      </w:r>
      <w:r w:rsidRPr="00BB4172">
        <w:rPr>
          <w:rFonts w:ascii="Times New Roman" w:eastAsia="Times New Roman" w:hAnsi="Times New Roman" w:cs="Times New Roman"/>
          <w:sz w:val="24"/>
          <w:szCs w:val="24"/>
        </w:rPr>
        <w:instrText xml:space="preserve"> ADDIN EN.REFLIST </w:instrText>
      </w:r>
      <w:r w:rsidRPr="00BB4172">
        <w:rPr>
          <w:rFonts w:ascii="Times New Roman" w:eastAsia="Times New Roman" w:hAnsi="Times New Roman" w:cs="Times New Roman"/>
          <w:sz w:val="24"/>
          <w:szCs w:val="24"/>
        </w:rPr>
        <w:fldChar w:fldCharType="separate"/>
      </w:r>
      <w:r w:rsidRPr="00BB4172">
        <w:rPr>
          <w:rFonts w:ascii="Times New Roman" w:hAnsi="Times New Roman" w:cs="Times New Roman"/>
        </w:rPr>
        <w:t>1.</w:t>
      </w:r>
      <w:r w:rsidRPr="00BB4172">
        <w:rPr>
          <w:rFonts w:ascii="Times New Roman" w:hAnsi="Times New Roman" w:cs="Times New Roman"/>
        </w:rPr>
        <w:tab/>
        <w:t>Warman, C., Panda, K., Vejlupkova, Z., Hokin, S., Unger-Wallace, E., Cole, R.A., Chettoor, A.M., Jiang, D., Vollbrecht, E., Evans, M.M.S.</w:t>
      </w:r>
      <w:r w:rsidRPr="00BB4172">
        <w:rPr>
          <w:rFonts w:ascii="Times New Roman" w:hAnsi="Times New Roman" w:cs="Times New Roman"/>
          <w:i/>
        </w:rPr>
        <w:t xml:space="preserve"> et al.</w:t>
      </w:r>
      <w:r w:rsidRPr="00BB4172">
        <w:rPr>
          <w:rFonts w:ascii="Times New Roman" w:hAnsi="Times New Roman" w:cs="Times New Roman"/>
        </w:rPr>
        <w:t xml:space="preserve"> (2020) High expression in maize pollen correlates with genetic contributions to pollen fitness as well as with coordinated transcription from neighboring transposable elements. </w:t>
      </w:r>
      <w:r w:rsidRPr="00BB4172">
        <w:rPr>
          <w:rFonts w:ascii="Times New Roman" w:hAnsi="Times New Roman" w:cs="Times New Roman"/>
          <w:i/>
        </w:rPr>
        <w:t>PLoS Genet</w:t>
      </w:r>
      <w:r w:rsidRPr="00BB4172">
        <w:rPr>
          <w:rFonts w:ascii="Times New Roman" w:hAnsi="Times New Roman" w:cs="Times New Roman"/>
        </w:rPr>
        <w:t xml:space="preserve">, </w:t>
      </w:r>
      <w:r w:rsidRPr="00BB4172">
        <w:rPr>
          <w:rFonts w:ascii="Times New Roman" w:hAnsi="Times New Roman" w:cs="Times New Roman"/>
          <w:b/>
        </w:rPr>
        <w:t>16</w:t>
      </w:r>
      <w:r w:rsidRPr="00BB4172">
        <w:rPr>
          <w:rFonts w:ascii="Times New Roman" w:hAnsi="Times New Roman" w:cs="Times New Roman"/>
        </w:rPr>
        <w:t>, e1008462.</w:t>
      </w:r>
    </w:p>
    <w:p w14:paraId="01E9C76B" w14:textId="77777777" w:rsidR="00191784" w:rsidRPr="00BB4172" w:rsidRDefault="00191784" w:rsidP="00191784">
      <w:pPr>
        <w:pStyle w:val="EndNoteBibliography"/>
        <w:ind w:left="720" w:hanging="720"/>
        <w:jc w:val="both"/>
        <w:rPr>
          <w:rFonts w:ascii="Times New Roman" w:hAnsi="Times New Roman" w:cs="Times New Roman"/>
        </w:rPr>
      </w:pPr>
      <w:r w:rsidRPr="00BB4172">
        <w:rPr>
          <w:rFonts w:ascii="Times New Roman" w:hAnsi="Times New Roman" w:cs="Times New Roman"/>
        </w:rPr>
        <w:t>2.</w:t>
      </w:r>
      <w:r w:rsidRPr="00BB4172">
        <w:rPr>
          <w:rFonts w:ascii="Times New Roman" w:hAnsi="Times New Roman" w:cs="Times New Roman"/>
        </w:rPr>
        <w:tab/>
        <w:t xml:space="preserve">Horton, P., Park, K.J., Obayashi, T., Fujita, N., Harada, H., Adams-Collier, C.J. and Nakai, K. (2007) WoLF PSORT: protein localization predictor. </w:t>
      </w:r>
      <w:r w:rsidRPr="00BB4172">
        <w:rPr>
          <w:rFonts w:ascii="Times New Roman" w:hAnsi="Times New Roman" w:cs="Times New Roman"/>
          <w:i/>
        </w:rPr>
        <w:t>Nucleic Acids Res</w:t>
      </w:r>
      <w:r w:rsidRPr="00BB4172">
        <w:rPr>
          <w:rFonts w:ascii="Times New Roman" w:hAnsi="Times New Roman" w:cs="Times New Roman"/>
        </w:rPr>
        <w:t xml:space="preserve">, </w:t>
      </w:r>
      <w:r w:rsidRPr="00BB4172">
        <w:rPr>
          <w:rFonts w:ascii="Times New Roman" w:hAnsi="Times New Roman" w:cs="Times New Roman"/>
          <w:b/>
        </w:rPr>
        <w:t>35</w:t>
      </w:r>
      <w:r w:rsidRPr="00BB4172">
        <w:rPr>
          <w:rFonts w:ascii="Times New Roman" w:hAnsi="Times New Roman" w:cs="Times New Roman"/>
        </w:rPr>
        <w:t>, W585-587.</w:t>
      </w:r>
    </w:p>
    <w:p w14:paraId="3EF4B233" w14:textId="6EEC7FA5" w:rsidR="002F4F40" w:rsidRPr="00BB4172" w:rsidRDefault="00191784" w:rsidP="00191784">
      <w:pPr>
        <w:shd w:val="clear" w:color="auto" w:fill="FFFFFF"/>
        <w:spacing w:line="240" w:lineRule="auto"/>
        <w:jc w:val="both"/>
        <w:rPr>
          <w:rFonts w:ascii="Times New Roman" w:eastAsia="Times New Roman" w:hAnsi="Times New Roman" w:cs="Times New Roman"/>
          <w:sz w:val="24"/>
          <w:szCs w:val="24"/>
        </w:rPr>
      </w:pPr>
      <w:r w:rsidRPr="00BB4172">
        <w:rPr>
          <w:rFonts w:ascii="Times New Roman" w:eastAsia="Times New Roman" w:hAnsi="Times New Roman" w:cs="Times New Roman"/>
          <w:sz w:val="24"/>
          <w:szCs w:val="24"/>
        </w:rPr>
        <w:fldChar w:fldCharType="end"/>
      </w:r>
    </w:p>
    <w:sectPr w:rsidR="002F4F40" w:rsidRPr="00BB41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cleic Acids Re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vdvfdasstz9elersssvtx0wxddtezer00dt&quot;&gt;proposal&lt;record-ids&gt;&lt;item&gt;9&lt;/item&gt;&lt;item&gt;110&lt;/item&gt;&lt;/record-ids&gt;&lt;/item&gt;&lt;/Libraries&gt;"/>
  </w:docVars>
  <w:rsids>
    <w:rsidRoot w:val="0032095F"/>
    <w:rsid w:val="000F081A"/>
    <w:rsid w:val="00113927"/>
    <w:rsid w:val="00191784"/>
    <w:rsid w:val="002429E4"/>
    <w:rsid w:val="0027449C"/>
    <w:rsid w:val="002F4F40"/>
    <w:rsid w:val="0032095F"/>
    <w:rsid w:val="00370717"/>
    <w:rsid w:val="003A4359"/>
    <w:rsid w:val="003C2286"/>
    <w:rsid w:val="003C3B49"/>
    <w:rsid w:val="005A1413"/>
    <w:rsid w:val="006A4FCE"/>
    <w:rsid w:val="006D1FEF"/>
    <w:rsid w:val="00704B6D"/>
    <w:rsid w:val="00847842"/>
    <w:rsid w:val="008E4CC0"/>
    <w:rsid w:val="00A83F84"/>
    <w:rsid w:val="00B32D86"/>
    <w:rsid w:val="00B51AC2"/>
    <w:rsid w:val="00BB4172"/>
    <w:rsid w:val="00BD1B14"/>
    <w:rsid w:val="00BD6231"/>
    <w:rsid w:val="00C45E5E"/>
    <w:rsid w:val="00C964C0"/>
    <w:rsid w:val="00CB0B70"/>
    <w:rsid w:val="00CD7631"/>
    <w:rsid w:val="00D72A8F"/>
    <w:rsid w:val="00D9218A"/>
    <w:rsid w:val="00DF6EAA"/>
    <w:rsid w:val="00E25EB9"/>
    <w:rsid w:val="00E93538"/>
    <w:rsid w:val="00EC4FF9"/>
    <w:rsid w:val="00F12C2A"/>
    <w:rsid w:val="00F900B7"/>
    <w:rsid w:val="00FC2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CFED2"/>
  <w15:chartTrackingRefBased/>
  <w15:docId w15:val="{8A357366-3912-43CE-8E8E-65F94B94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95F"/>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A4359"/>
    <w:rPr>
      <w:rFonts w:ascii="TimesNewRomanPS-BoldMT" w:hAnsi="TimesNewRomanPS-BoldMT" w:hint="default"/>
      <w:b/>
      <w:bCs/>
      <w:i w:val="0"/>
      <w:iCs w:val="0"/>
      <w:color w:val="000000"/>
      <w:sz w:val="24"/>
      <w:szCs w:val="24"/>
    </w:rPr>
  </w:style>
  <w:style w:type="paragraph" w:customStyle="1" w:styleId="EndNoteBibliographyTitle">
    <w:name w:val="EndNote Bibliography Title"/>
    <w:basedOn w:val="Normal"/>
    <w:link w:val="EndNoteBibliographyTitleChar"/>
    <w:rsid w:val="00191784"/>
    <w:pPr>
      <w:jc w:val="center"/>
    </w:pPr>
    <w:rPr>
      <w:noProof/>
      <w:lang w:val="en-US"/>
    </w:rPr>
  </w:style>
  <w:style w:type="character" w:customStyle="1" w:styleId="EndNoteBibliographyTitleChar">
    <w:name w:val="EndNote Bibliography Title Char"/>
    <w:basedOn w:val="DefaultParagraphFont"/>
    <w:link w:val="EndNoteBibliographyTitle"/>
    <w:rsid w:val="00191784"/>
    <w:rPr>
      <w:rFonts w:ascii="Arial" w:eastAsia="Arial" w:hAnsi="Arial" w:cs="Arial"/>
      <w:noProof/>
    </w:rPr>
  </w:style>
  <w:style w:type="paragraph" w:customStyle="1" w:styleId="EndNoteBibliography">
    <w:name w:val="EndNote Bibliography"/>
    <w:basedOn w:val="Normal"/>
    <w:link w:val="EndNoteBibliographyChar"/>
    <w:rsid w:val="00191784"/>
    <w:pPr>
      <w:spacing w:line="240" w:lineRule="auto"/>
    </w:pPr>
    <w:rPr>
      <w:noProof/>
      <w:lang w:val="en-US"/>
    </w:rPr>
  </w:style>
  <w:style w:type="character" w:customStyle="1" w:styleId="EndNoteBibliographyChar">
    <w:name w:val="EndNote Bibliography Char"/>
    <w:basedOn w:val="DefaultParagraphFont"/>
    <w:link w:val="EndNoteBibliography"/>
    <w:rsid w:val="00191784"/>
    <w:rPr>
      <w:rFonts w:ascii="Arial" w:eastAsia="Arial" w:hAnsi="Arial" w:cs="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8</Pages>
  <Words>4497</Words>
  <Characters>25637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 Shatabdi [PPEM]</dc:creator>
  <cp:keywords/>
  <dc:description/>
  <cp:lastModifiedBy>Andorf, Carson [COM S]</cp:lastModifiedBy>
  <cp:revision>34</cp:revision>
  <dcterms:created xsi:type="dcterms:W3CDTF">2022-11-22T05:10:00Z</dcterms:created>
  <dcterms:modified xsi:type="dcterms:W3CDTF">2023-09-29T19:10:00Z</dcterms:modified>
</cp:coreProperties>
</file>